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EE56F" w14:textId="77777777" w:rsidR="00D250B2" w:rsidRPr="006333FD" w:rsidRDefault="00D250B2" w:rsidP="003B58EB">
      <w:pPr>
        <w:spacing w:after="0" w:line="360" w:lineRule="auto"/>
        <w:jc w:val="both"/>
        <w:rPr>
          <w:rFonts w:ascii="Arial" w:hAnsi="Arial" w:cs="Arial"/>
          <w:b/>
          <w:sz w:val="24"/>
          <w:szCs w:val="24"/>
        </w:rPr>
      </w:pPr>
    </w:p>
    <w:p w14:paraId="2AA438FB" w14:textId="77777777" w:rsidR="006333FD" w:rsidRPr="006333FD" w:rsidRDefault="00160F22" w:rsidP="006333FD">
      <w:pPr>
        <w:rPr>
          <w:rFonts w:ascii="Arial" w:hAnsi="Arial" w:cs="Arial"/>
          <w:b/>
          <w:bCs/>
          <w:sz w:val="24"/>
          <w:szCs w:val="24"/>
        </w:rPr>
      </w:pPr>
      <w:r w:rsidRPr="006333FD">
        <w:rPr>
          <w:rFonts w:ascii="Arial" w:hAnsi="Arial" w:cs="Arial"/>
          <w:b/>
          <w:sz w:val="24"/>
          <w:szCs w:val="24"/>
        </w:rPr>
        <w:t xml:space="preserve">1.  </w:t>
      </w:r>
      <w:r w:rsidR="006333FD" w:rsidRPr="006333FD">
        <w:rPr>
          <w:rFonts w:ascii="Arial" w:hAnsi="Arial" w:cs="Arial"/>
          <w:b/>
          <w:bCs/>
          <w:sz w:val="24"/>
          <w:szCs w:val="24"/>
        </w:rPr>
        <w:t>JUSTIÇA CONSENSUAL PARA AS DEMANDAS COLETIVAS</w:t>
      </w:r>
    </w:p>
    <w:p w14:paraId="625AF4E5" w14:textId="283677CD" w:rsidR="00160F22" w:rsidRPr="00612CC0" w:rsidRDefault="006333FD" w:rsidP="003B58EB">
      <w:pPr>
        <w:spacing w:after="0" w:line="360" w:lineRule="auto"/>
        <w:jc w:val="both"/>
        <w:rPr>
          <w:rFonts w:ascii="Arial" w:hAnsi="Arial" w:cs="Arial"/>
          <w:b/>
          <w:sz w:val="24"/>
          <w:szCs w:val="24"/>
        </w:rPr>
      </w:pPr>
      <w:r>
        <w:rPr>
          <w:rFonts w:ascii="Arial" w:hAnsi="Arial" w:cs="Arial"/>
          <w:b/>
          <w:sz w:val="24"/>
          <w:szCs w:val="24"/>
        </w:rPr>
        <w:t xml:space="preserve">Juliana </w:t>
      </w:r>
      <w:proofErr w:type="spellStart"/>
      <w:r>
        <w:rPr>
          <w:rFonts w:ascii="Arial" w:hAnsi="Arial" w:cs="Arial"/>
          <w:b/>
          <w:sz w:val="24"/>
          <w:szCs w:val="24"/>
        </w:rPr>
        <w:t>Loss</w:t>
      </w:r>
      <w:proofErr w:type="spellEnd"/>
      <w:r>
        <w:rPr>
          <w:rFonts w:ascii="Arial" w:hAnsi="Arial" w:cs="Arial"/>
          <w:b/>
          <w:sz w:val="24"/>
          <w:szCs w:val="24"/>
        </w:rPr>
        <w:t xml:space="preserve"> de Andrade</w:t>
      </w:r>
    </w:p>
    <w:p w14:paraId="5671D3FA" w14:textId="2C744AF6" w:rsidR="006B112F" w:rsidRDefault="00160F22" w:rsidP="003B58EB">
      <w:pPr>
        <w:spacing w:after="0" w:line="360" w:lineRule="auto"/>
        <w:jc w:val="both"/>
        <w:rPr>
          <w:rFonts w:ascii="Arial" w:hAnsi="Arial" w:cs="Arial"/>
          <w:i/>
          <w:sz w:val="24"/>
          <w:szCs w:val="24"/>
        </w:rPr>
      </w:pPr>
      <w:r w:rsidRPr="00612CC0">
        <w:rPr>
          <w:rFonts w:ascii="Arial" w:hAnsi="Arial" w:cs="Arial"/>
          <w:i/>
          <w:sz w:val="24"/>
          <w:szCs w:val="24"/>
        </w:rPr>
        <w:t>Doutor</w:t>
      </w:r>
      <w:r w:rsidR="006333FD">
        <w:rPr>
          <w:rFonts w:ascii="Arial" w:hAnsi="Arial" w:cs="Arial"/>
          <w:i/>
          <w:sz w:val="24"/>
          <w:szCs w:val="24"/>
        </w:rPr>
        <w:t xml:space="preserve">anda em Direito pela Universidade Paris 1 </w:t>
      </w:r>
      <w:proofErr w:type="spellStart"/>
      <w:r w:rsidR="006333FD">
        <w:rPr>
          <w:rFonts w:ascii="Arial" w:hAnsi="Arial" w:cs="Arial"/>
          <w:i/>
          <w:sz w:val="24"/>
          <w:szCs w:val="24"/>
        </w:rPr>
        <w:t>Pantheón</w:t>
      </w:r>
      <w:proofErr w:type="spellEnd"/>
      <w:r w:rsidR="006333FD">
        <w:rPr>
          <w:rFonts w:ascii="Arial" w:hAnsi="Arial" w:cs="Arial"/>
          <w:i/>
          <w:sz w:val="24"/>
          <w:szCs w:val="24"/>
        </w:rPr>
        <w:t>-Sorbonne.</w:t>
      </w:r>
    </w:p>
    <w:p w14:paraId="67DDEF0A" w14:textId="5117EDDD" w:rsidR="00160F22" w:rsidRPr="00612CC0" w:rsidRDefault="00160F22" w:rsidP="003B58EB">
      <w:pPr>
        <w:spacing w:after="0" w:line="360" w:lineRule="auto"/>
        <w:jc w:val="both"/>
        <w:rPr>
          <w:rFonts w:ascii="Arial" w:hAnsi="Arial" w:cs="Arial"/>
          <w:i/>
          <w:sz w:val="24"/>
          <w:szCs w:val="24"/>
        </w:rPr>
      </w:pPr>
      <w:r w:rsidRPr="00612CC0">
        <w:rPr>
          <w:rFonts w:ascii="Arial" w:hAnsi="Arial" w:cs="Arial"/>
          <w:i/>
          <w:sz w:val="24"/>
          <w:szCs w:val="24"/>
        </w:rPr>
        <w:t xml:space="preserve">Mestre em Direito </w:t>
      </w:r>
      <w:r w:rsidR="006333FD">
        <w:rPr>
          <w:rFonts w:ascii="Arial" w:hAnsi="Arial" w:cs="Arial"/>
          <w:i/>
          <w:sz w:val="24"/>
          <w:szCs w:val="24"/>
        </w:rPr>
        <w:t>Público pela Universidade Carlos III de Madrid.</w:t>
      </w:r>
      <w:r w:rsidRPr="00612CC0">
        <w:rPr>
          <w:rFonts w:ascii="Arial" w:hAnsi="Arial" w:cs="Arial"/>
          <w:i/>
          <w:sz w:val="24"/>
          <w:szCs w:val="24"/>
        </w:rPr>
        <w:t xml:space="preserve"> </w:t>
      </w:r>
    </w:p>
    <w:p w14:paraId="48284EF0" w14:textId="1E0D1193" w:rsidR="00160F22" w:rsidRPr="00612CC0" w:rsidRDefault="006333FD" w:rsidP="003B58EB">
      <w:pPr>
        <w:spacing w:after="0" w:line="360" w:lineRule="auto"/>
        <w:jc w:val="both"/>
        <w:rPr>
          <w:rFonts w:ascii="Arial" w:hAnsi="Arial" w:cs="Arial"/>
          <w:i/>
          <w:sz w:val="24"/>
          <w:szCs w:val="24"/>
        </w:rPr>
      </w:pPr>
      <w:r>
        <w:rPr>
          <w:rFonts w:ascii="Arial" w:hAnsi="Arial" w:cs="Arial"/>
          <w:i/>
          <w:sz w:val="24"/>
          <w:szCs w:val="24"/>
        </w:rPr>
        <w:t>Coordenadora Técnica do Núcleo de Mediação da FGV.</w:t>
      </w:r>
    </w:p>
    <w:p w14:paraId="4D693423" w14:textId="3B900AF1" w:rsidR="00160F22" w:rsidRPr="00612CC0" w:rsidRDefault="00160F22" w:rsidP="003B58EB">
      <w:pPr>
        <w:spacing w:after="0" w:line="360" w:lineRule="auto"/>
        <w:jc w:val="both"/>
        <w:rPr>
          <w:rFonts w:ascii="Arial" w:hAnsi="Arial" w:cs="Arial"/>
          <w:i/>
          <w:sz w:val="24"/>
          <w:szCs w:val="24"/>
        </w:rPr>
      </w:pPr>
      <w:r w:rsidRPr="00612CC0">
        <w:rPr>
          <w:rFonts w:ascii="Arial" w:hAnsi="Arial" w:cs="Arial"/>
          <w:i/>
          <w:sz w:val="24"/>
          <w:szCs w:val="24"/>
        </w:rPr>
        <w:t>Advogad</w:t>
      </w:r>
      <w:r w:rsidR="006333FD">
        <w:rPr>
          <w:rFonts w:ascii="Arial" w:hAnsi="Arial" w:cs="Arial"/>
          <w:i/>
          <w:sz w:val="24"/>
          <w:szCs w:val="24"/>
        </w:rPr>
        <w:t>a</w:t>
      </w:r>
      <w:r w:rsidR="006B112F">
        <w:rPr>
          <w:rFonts w:ascii="Arial" w:hAnsi="Arial" w:cs="Arial"/>
          <w:i/>
          <w:sz w:val="24"/>
          <w:szCs w:val="24"/>
        </w:rPr>
        <w:t>.</w:t>
      </w:r>
    </w:p>
    <w:p w14:paraId="58021295" w14:textId="77777777" w:rsidR="00160F22" w:rsidRPr="00612CC0" w:rsidRDefault="00160F22" w:rsidP="003B58EB">
      <w:pPr>
        <w:spacing w:after="0" w:line="360" w:lineRule="auto"/>
        <w:jc w:val="both"/>
        <w:rPr>
          <w:rFonts w:ascii="Arial" w:hAnsi="Arial" w:cs="Arial"/>
          <w:b/>
          <w:color w:val="FF0000"/>
          <w:sz w:val="24"/>
          <w:szCs w:val="24"/>
        </w:rPr>
      </w:pPr>
    </w:p>
    <w:p w14:paraId="363435FD" w14:textId="77777777" w:rsidR="00160F22" w:rsidRPr="00612CC0" w:rsidRDefault="00160F22" w:rsidP="003B58EB">
      <w:pPr>
        <w:spacing w:after="0" w:line="360" w:lineRule="auto"/>
        <w:jc w:val="both"/>
        <w:rPr>
          <w:rFonts w:ascii="Arial" w:hAnsi="Arial" w:cs="Arial"/>
          <w:sz w:val="24"/>
          <w:szCs w:val="24"/>
        </w:rPr>
      </w:pPr>
    </w:p>
    <w:p w14:paraId="0C07F71E" w14:textId="71C33C2A" w:rsidR="00160F22" w:rsidRPr="006333FD" w:rsidRDefault="00160F22" w:rsidP="003B58EB">
      <w:pPr>
        <w:spacing w:after="0" w:line="360" w:lineRule="auto"/>
        <w:jc w:val="both"/>
        <w:rPr>
          <w:rFonts w:ascii="Arial" w:hAnsi="Arial" w:cs="Arial"/>
          <w:b/>
          <w:color w:val="FF0000"/>
          <w:sz w:val="24"/>
          <w:szCs w:val="24"/>
        </w:rPr>
      </w:pPr>
      <w:r w:rsidRPr="006333FD">
        <w:rPr>
          <w:rFonts w:ascii="Arial" w:hAnsi="Arial" w:cs="Arial"/>
          <w:b/>
          <w:sz w:val="24"/>
          <w:szCs w:val="24"/>
        </w:rPr>
        <w:t>Introdução</w:t>
      </w:r>
      <w:r w:rsidR="008651F1" w:rsidRPr="006333FD">
        <w:rPr>
          <w:rFonts w:ascii="Arial" w:hAnsi="Arial" w:cs="Arial"/>
          <w:b/>
          <w:sz w:val="24"/>
          <w:szCs w:val="24"/>
        </w:rPr>
        <w:t xml:space="preserve"> </w:t>
      </w:r>
    </w:p>
    <w:p w14:paraId="289FE2F6" w14:textId="77777777" w:rsidR="00160F22" w:rsidRPr="006333FD" w:rsidRDefault="00160F22" w:rsidP="003B58EB">
      <w:pPr>
        <w:spacing w:after="0" w:line="360" w:lineRule="auto"/>
        <w:ind w:firstLine="851"/>
        <w:jc w:val="both"/>
        <w:rPr>
          <w:rFonts w:ascii="Arial" w:hAnsi="Arial" w:cs="Arial"/>
          <w:sz w:val="24"/>
          <w:szCs w:val="24"/>
        </w:rPr>
      </w:pPr>
    </w:p>
    <w:p w14:paraId="6C5FFAAD"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Este artigo tem a proposta de aprofundar sobre o tema da consensualidade no âmbito das demandas coletivas e sobre como a </w:t>
      </w:r>
      <w:r w:rsidRPr="006333FD">
        <w:rPr>
          <w:rFonts w:ascii="Arial" w:hAnsi="Arial" w:cs="Arial"/>
          <w:i/>
          <w:iCs/>
          <w:sz w:val="24"/>
          <w:szCs w:val="24"/>
        </w:rPr>
        <w:t xml:space="preserve">online dispute </w:t>
      </w:r>
      <w:proofErr w:type="spellStart"/>
      <w:r w:rsidRPr="006333FD">
        <w:rPr>
          <w:rFonts w:ascii="Arial" w:hAnsi="Arial" w:cs="Arial"/>
          <w:i/>
          <w:iCs/>
          <w:sz w:val="24"/>
          <w:szCs w:val="24"/>
        </w:rPr>
        <w:t>resolution</w:t>
      </w:r>
      <w:proofErr w:type="spellEnd"/>
      <w:r w:rsidRPr="006333FD">
        <w:rPr>
          <w:rFonts w:ascii="Arial" w:hAnsi="Arial" w:cs="Arial"/>
          <w:sz w:val="24"/>
          <w:szCs w:val="24"/>
        </w:rPr>
        <w:t xml:space="preserve"> pode contribuir neste sentido. O artigo problematiza a seguinte questão: em que medida as demandas coletivas no Brasil podem ser resolvidas através de uma justiça consensual? O ordenamento jurídico brasileiro avançou significativamente com as novidades legislativas incorporadas recentemente em áreas tradicionalmente resistentes </w:t>
      </w:r>
      <w:proofErr w:type="gramStart"/>
      <w:r w:rsidRPr="006333FD">
        <w:rPr>
          <w:rFonts w:ascii="Arial" w:hAnsi="Arial" w:cs="Arial"/>
          <w:sz w:val="24"/>
          <w:szCs w:val="24"/>
        </w:rPr>
        <w:t>à</w:t>
      </w:r>
      <w:proofErr w:type="gramEnd"/>
      <w:r w:rsidRPr="006333FD">
        <w:rPr>
          <w:rFonts w:ascii="Arial" w:hAnsi="Arial" w:cs="Arial"/>
          <w:sz w:val="24"/>
          <w:szCs w:val="24"/>
        </w:rPr>
        <w:t xml:space="preserve"> transações extrajudiciais e as plataformas de ODR podem auxiliar bastante nesses procedimentos. </w:t>
      </w:r>
    </w:p>
    <w:p w14:paraId="3920A5CD"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A primeira parte do trabalho apresenta uma análise quantitativa das demandas coletivas no Judiciário a partir dos dados levantados pelo Relatório analítico propositivo coordenado pelo Conselho Nacional de Justiça que investigou as ações coletivas no Brasil.  Neste tópico, a pesquisa aborda o volume dessas ações na Justiça com referência no ano-base de 2018. </w:t>
      </w:r>
    </w:p>
    <w:p w14:paraId="34857321" w14:textId="77777777" w:rsidR="006333FD" w:rsidRPr="006333FD" w:rsidRDefault="006333FD" w:rsidP="006333FD">
      <w:pPr>
        <w:spacing w:line="360" w:lineRule="auto"/>
        <w:jc w:val="both"/>
        <w:rPr>
          <w:rFonts w:ascii="Arial" w:hAnsi="Arial" w:cs="Arial"/>
          <w:sz w:val="24"/>
          <w:szCs w:val="24"/>
        </w:rPr>
      </w:pPr>
      <w:r w:rsidRPr="006333FD">
        <w:rPr>
          <w:rFonts w:ascii="Arial" w:hAnsi="Arial" w:cs="Arial"/>
          <w:sz w:val="24"/>
          <w:szCs w:val="24"/>
        </w:rPr>
        <w:tab/>
        <w:t xml:space="preserve">Em seguida, o estudo avança para tratar sobre os fundamentos legais que embasam o uso da consensualidade para a solução de conflitos coletivos. O último tópico é dedicado propriamente à </w:t>
      </w:r>
      <w:r w:rsidRPr="006333FD">
        <w:rPr>
          <w:rFonts w:ascii="Arial" w:hAnsi="Arial" w:cs="Arial"/>
          <w:i/>
          <w:iCs/>
          <w:sz w:val="24"/>
          <w:szCs w:val="24"/>
        </w:rPr>
        <w:t xml:space="preserve">online dispute </w:t>
      </w:r>
      <w:proofErr w:type="spellStart"/>
      <w:r w:rsidRPr="006333FD">
        <w:rPr>
          <w:rFonts w:ascii="Arial" w:hAnsi="Arial" w:cs="Arial"/>
          <w:i/>
          <w:iCs/>
          <w:sz w:val="24"/>
          <w:szCs w:val="24"/>
        </w:rPr>
        <w:t>resolution</w:t>
      </w:r>
      <w:proofErr w:type="spellEnd"/>
      <w:r w:rsidRPr="006333FD">
        <w:rPr>
          <w:rFonts w:ascii="Arial" w:hAnsi="Arial" w:cs="Arial"/>
          <w:sz w:val="24"/>
          <w:szCs w:val="24"/>
        </w:rPr>
        <w:t xml:space="preserve"> e os benefícios que oferece ao tratamento de disputas complexas e que envolvem um maior número de pessoas e órgãos. </w:t>
      </w:r>
    </w:p>
    <w:p w14:paraId="7E9E81AA" w14:textId="77777777" w:rsidR="006333FD" w:rsidRPr="006333FD" w:rsidRDefault="006333FD" w:rsidP="006333FD">
      <w:pPr>
        <w:spacing w:line="360" w:lineRule="auto"/>
        <w:jc w:val="both"/>
        <w:rPr>
          <w:rFonts w:ascii="Arial" w:hAnsi="Arial" w:cs="Arial"/>
          <w:sz w:val="24"/>
          <w:szCs w:val="24"/>
        </w:rPr>
      </w:pPr>
      <w:r w:rsidRPr="006333FD">
        <w:rPr>
          <w:rFonts w:ascii="Arial" w:hAnsi="Arial" w:cs="Arial"/>
          <w:sz w:val="24"/>
          <w:szCs w:val="24"/>
        </w:rPr>
        <w:tab/>
        <w:t xml:space="preserve">A pesquisa fez um levantamento bibliográfico sobre o tema com referências nacionais, sobretudo no que concerne aos dados relacionados às ações coletivas no Brasil, e internacionais para tratar sobre o conceito de ODR e sobre a experiência estrangeira. </w:t>
      </w:r>
    </w:p>
    <w:p w14:paraId="21E15E4E" w14:textId="77777777" w:rsidR="006333FD" w:rsidRPr="006333FD" w:rsidRDefault="006333FD" w:rsidP="006333FD">
      <w:pPr>
        <w:spacing w:line="360" w:lineRule="auto"/>
        <w:jc w:val="both"/>
        <w:rPr>
          <w:rFonts w:ascii="Arial" w:hAnsi="Arial" w:cs="Arial"/>
          <w:sz w:val="24"/>
          <w:szCs w:val="24"/>
        </w:rPr>
      </w:pPr>
      <w:r w:rsidRPr="006333FD">
        <w:rPr>
          <w:rFonts w:ascii="Arial" w:hAnsi="Arial" w:cs="Arial"/>
          <w:sz w:val="24"/>
          <w:szCs w:val="24"/>
        </w:rPr>
        <w:tab/>
      </w:r>
    </w:p>
    <w:p w14:paraId="680A4E72" w14:textId="77777777" w:rsidR="00160F22" w:rsidRPr="006333FD" w:rsidRDefault="00160F22" w:rsidP="003B58EB">
      <w:pPr>
        <w:spacing w:after="0" w:line="360" w:lineRule="auto"/>
        <w:ind w:firstLine="851"/>
        <w:jc w:val="both"/>
        <w:rPr>
          <w:rFonts w:ascii="Arial" w:hAnsi="Arial" w:cs="Arial"/>
          <w:sz w:val="24"/>
          <w:szCs w:val="24"/>
        </w:rPr>
      </w:pPr>
    </w:p>
    <w:p w14:paraId="1FE3FFFD" w14:textId="64251791" w:rsidR="006333FD" w:rsidRPr="006333FD" w:rsidRDefault="00FF0AF9" w:rsidP="006333FD">
      <w:pPr>
        <w:spacing w:after="0" w:line="240" w:lineRule="auto"/>
        <w:rPr>
          <w:rFonts w:ascii="Arial" w:hAnsi="Arial" w:cs="Arial"/>
          <w:b/>
          <w:bCs/>
          <w:sz w:val="24"/>
          <w:szCs w:val="24"/>
        </w:rPr>
      </w:pPr>
      <w:r w:rsidRPr="006333FD">
        <w:rPr>
          <w:rFonts w:ascii="Arial" w:hAnsi="Arial" w:cs="Arial"/>
          <w:b/>
          <w:sz w:val="24"/>
          <w:szCs w:val="24"/>
        </w:rPr>
        <w:t>1</w:t>
      </w:r>
      <w:r w:rsidR="003B58EB" w:rsidRPr="006333FD">
        <w:rPr>
          <w:rFonts w:ascii="Arial" w:hAnsi="Arial" w:cs="Arial"/>
          <w:b/>
          <w:sz w:val="24"/>
          <w:szCs w:val="24"/>
        </w:rPr>
        <w:t xml:space="preserve">. </w:t>
      </w:r>
      <w:r w:rsidR="006333FD" w:rsidRPr="006333FD">
        <w:rPr>
          <w:rFonts w:ascii="Arial" w:hAnsi="Arial" w:cs="Arial"/>
          <w:b/>
          <w:bCs/>
          <w:sz w:val="24"/>
          <w:szCs w:val="24"/>
        </w:rPr>
        <w:t>Demandas Coletivas</w:t>
      </w:r>
      <w:r w:rsidR="006333FD" w:rsidRPr="006333FD">
        <w:rPr>
          <w:rFonts w:ascii="Arial" w:hAnsi="Arial" w:cs="Arial"/>
          <w:b/>
          <w:bCs/>
          <w:sz w:val="24"/>
          <w:szCs w:val="24"/>
        </w:rPr>
        <w:t xml:space="preserve"> </w:t>
      </w:r>
      <w:r w:rsidR="006333FD" w:rsidRPr="006333FD">
        <w:rPr>
          <w:rFonts w:ascii="Arial" w:hAnsi="Arial" w:cs="Arial"/>
          <w:b/>
          <w:bCs/>
          <w:sz w:val="24"/>
          <w:szCs w:val="24"/>
        </w:rPr>
        <w:t>no Judiciário</w:t>
      </w:r>
    </w:p>
    <w:p w14:paraId="1BEE3679" w14:textId="77777777" w:rsidR="00612CC0" w:rsidRPr="006333FD" w:rsidRDefault="00612CC0" w:rsidP="003B58EB">
      <w:pPr>
        <w:spacing w:after="0" w:line="360" w:lineRule="auto"/>
        <w:jc w:val="both"/>
        <w:rPr>
          <w:rFonts w:ascii="Arial" w:hAnsi="Arial" w:cs="Arial"/>
          <w:b/>
          <w:sz w:val="24"/>
          <w:szCs w:val="24"/>
        </w:rPr>
      </w:pPr>
    </w:p>
    <w:p w14:paraId="010A5C97"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Uma taxonomia unificada desenvolvia pelo Conselho Nacional do Ministério Público e pelo Conselho Nacional de Justiça engloba as seguintes categorias de demandas coletivas: ação civil pública, ação popular, ação civil coletiva e ação de improbidade administrativa</w:t>
      </w:r>
      <w:r w:rsidRPr="006333FD">
        <w:rPr>
          <w:rStyle w:val="Refdenotaderodap"/>
          <w:rFonts w:ascii="Arial" w:hAnsi="Arial" w:cs="Arial"/>
          <w:sz w:val="24"/>
          <w:szCs w:val="24"/>
        </w:rPr>
        <w:footnoteReference w:id="1"/>
      </w:r>
      <w:r w:rsidRPr="006333FD">
        <w:rPr>
          <w:rFonts w:ascii="Arial" w:hAnsi="Arial" w:cs="Arial"/>
          <w:sz w:val="24"/>
          <w:szCs w:val="24"/>
        </w:rPr>
        <w:t>. Essa classificação é artificial e foi criada por comissões específicas desses dois órgãos para conferir maior agilidade a esses processos e, consequentemente, facilitar o mapeamento e estudo dos mesmos</w:t>
      </w:r>
      <w:r w:rsidRPr="006333FD">
        <w:rPr>
          <w:rStyle w:val="Refdenotaderodap"/>
          <w:rFonts w:ascii="Arial" w:hAnsi="Arial" w:cs="Arial"/>
          <w:sz w:val="24"/>
          <w:szCs w:val="24"/>
        </w:rPr>
        <w:footnoteReference w:id="2"/>
      </w:r>
      <w:r w:rsidRPr="006333FD">
        <w:rPr>
          <w:rFonts w:ascii="Arial" w:hAnsi="Arial" w:cs="Arial"/>
          <w:sz w:val="24"/>
          <w:szCs w:val="24"/>
        </w:rPr>
        <w:t xml:space="preserve">. Esta é a referência que embasa esta pesquisa. </w:t>
      </w:r>
    </w:p>
    <w:p w14:paraId="058EB971"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Cada uma dessas ações tem uma proposta determinada de acordo com a lei. Dentre as demandas coletivas, a legislação mais antiga é a Lei n</w:t>
      </w:r>
      <w:r w:rsidRPr="006333FD">
        <w:rPr>
          <w:rFonts w:ascii="Arial" w:hAnsi="Arial" w:cs="Arial"/>
          <w:sz w:val="24"/>
          <w:szCs w:val="24"/>
          <w:vertAlign w:val="superscript"/>
        </w:rPr>
        <w:t>o</w:t>
      </w:r>
      <w:r w:rsidRPr="006333FD">
        <w:rPr>
          <w:rFonts w:ascii="Arial" w:hAnsi="Arial" w:cs="Arial"/>
          <w:sz w:val="24"/>
          <w:szCs w:val="24"/>
        </w:rPr>
        <w:t xml:space="preserve">. 4.417 de 1965 que rege a ação popular, a qual é um instrumento voltado à proteção do patrimônio público para reparar um dano praticado. No que diz respeito ao direito material, a mesma costuma ter por objeto questões relacionadas às irregularidades em licitação e improbidade administrativa e pode ser proposta por qualquer cidadão. </w:t>
      </w:r>
    </w:p>
    <w:p w14:paraId="4F6CDA73"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A ação civil pública é regida pela Lei n</w:t>
      </w:r>
      <w:r w:rsidRPr="006333FD">
        <w:rPr>
          <w:rFonts w:ascii="Arial" w:hAnsi="Arial" w:cs="Arial"/>
          <w:sz w:val="24"/>
          <w:szCs w:val="24"/>
          <w:vertAlign w:val="superscript"/>
        </w:rPr>
        <w:t>o</w:t>
      </w:r>
      <w:r w:rsidRPr="006333FD">
        <w:rPr>
          <w:rFonts w:ascii="Arial" w:hAnsi="Arial" w:cs="Arial"/>
          <w:sz w:val="24"/>
          <w:szCs w:val="24"/>
        </w:rPr>
        <w:t>. 7.347 de 1985, que prevê a possibilidade de ações que visem reparar ou prevenir danos causados ao meio ambiente, ao consumidor, a bens e direitos de valor artístico, estético, histórico, turístico e paisagístico, à ordem urbanística e a qualquer interesse difuso ou coletivo, por infração da ordem econômica e da economia popular, à honra e à dignidade de grupos raciais, étnicos ou religiosos e ao patrimônio público e social. O rol de legitimados a propor esta ação é também determinado por lei.</w:t>
      </w:r>
    </w:p>
    <w:p w14:paraId="1E054E2C"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A ação civil de improbidade administrativa, por sua vez, tem em vista a aplicação de sanções aos agentes públicos nos casos de enriquecimento ilícito no exercício de mandato, cargo, emprego ou função na administração pública direta, indireta ou fundacional e também conta com um diploma normativo próprio, a Lei n</w:t>
      </w:r>
      <w:r w:rsidRPr="006333FD">
        <w:rPr>
          <w:rFonts w:ascii="Arial" w:hAnsi="Arial" w:cs="Arial"/>
          <w:sz w:val="24"/>
          <w:szCs w:val="24"/>
          <w:vertAlign w:val="superscript"/>
        </w:rPr>
        <w:t>o</w:t>
      </w:r>
      <w:r w:rsidRPr="006333FD">
        <w:rPr>
          <w:rFonts w:ascii="Arial" w:hAnsi="Arial" w:cs="Arial"/>
          <w:sz w:val="24"/>
          <w:szCs w:val="24"/>
        </w:rPr>
        <w:t xml:space="preserve">. 8.429 de 1992. </w:t>
      </w:r>
    </w:p>
    <w:p w14:paraId="4C94A0C9" w14:textId="24B1E15D"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O Código de Defesa do Consumidor trata no capítulo II (artigos 91 e seguintes) sobre o procedimento das ações coletivas que pretendam proteger interesses individuais </w:t>
      </w:r>
      <w:r w:rsidRPr="006333FD">
        <w:rPr>
          <w:rFonts w:ascii="Arial" w:hAnsi="Arial" w:cs="Arial"/>
          <w:sz w:val="24"/>
          <w:szCs w:val="24"/>
        </w:rPr>
        <w:lastRenderedPageBreak/>
        <w:t xml:space="preserve">homogêneos do consumidor e confere legitimidade ativa para o Ministério Público, a União, os Estados, os Municípios e o Distrito Federal, as entidades e órgãos da Administração Pública, direta ou indireta, ainda que sem personalidade jurídica, desde que destinados à defesa dos interesses e direitos do consumidor e para as associações legalmente constituídas há pelo menos um ano, que também incluam entre seus fins institucionais a tutela consumerista. </w:t>
      </w:r>
    </w:p>
    <w:p w14:paraId="164BB782" w14:textId="2FB1D2F1" w:rsid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A partir desta classificação é possível averiguar o volume dessas demandas coletivas no Judiciário. Somente no ano de 2018 (ano-base para o relatório Justiça em Números de 2019), elas significaram 102.223 novas ações ajuizadas, sendo 15.994 ações civis de improbidade administrativa; 4.728 ações coletivas, 3.412 ações populares e 78.089 ações civis públicas, conforme o gráfico 1 abaixo. </w:t>
      </w:r>
    </w:p>
    <w:p w14:paraId="53F6425D" w14:textId="77777777" w:rsidR="006333FD" w:rsidRPr="006333FD" w:rsidRDefault="006333FD" w:rsidP="006333FD">
      <w:pPr>
        <w:spacing w:line="360" w:lineRule="auto"/>
        <w:ind w:firstLine="708"/>
        <w:jc w:val="both"/>
        <w:rPr>
          <w:rFonts w:ascii="Arial" w:hAnsi="Arial" w:cs="Arial"/>
          <w:sz w:val="24"/>
          <w:szCs w:val="24"/>
        </w:rPr>
      </w:pPr>
    </w:p>
    <w:p w14:paraId="71CBC114" w14:textId="49DEF312" w:rsidR="006333FD" w:rsidRPr="006333FD" w:rsidRDefault="006333FD" w:rsidP="006333FD">
      <w:pPr>
        <w:spacing w:line="360" w:lineRule="auto"/>
        <w:jc w:val="both"/>
        <w:rPr>
          <w:rFonts w:ascii="Arial" w:hAnsi="Arial" w:cs="Arial"/>
          <w:sz w:val="24"/>
          <w:szCs w:val="24"/>
        </w:rPr>
      </w:pPr>
      <w:r w:rsidRPr="006333FD">
        <w:rPr>
          <w:rFonts w:ascii="Arial" w:hAnsi="Arial" w:cs="Arial"/>
          <w:sz w:val="24"/>
          <w:szCs w:val="24"/>
        </w:rPr>
        <w:t xml:space="preserve">Gráfico 1. Demandas Coletivas no Judiciário em 2019. </w:t>
      </w:r>
    </w:p>
    <w:p w14:paraId="1ED25B21" w14:textId="09601C47" w:rsidR="00160F22" w:rsidRPr="006333FD" w:rsidRDefault="006333FD" w:rsidP="003B58EB">
      <w:pPr>
        <w:spacing w:after="0" w:line="360" w:lineRule="auto"/>
        <w:jc w:val="both"/>
        <w:rPr>
          <w:rFonts w:ascii="Arial" w:hAnsi="Arial" w:cs="Arial"/>
          <w:b/>
          <w:sz w:val="24"/>
          <w:szCs w:val="24"/>
        </w:rPr>
      </w:pPr>
      <w:r w:rsidRPr="006333FD">
        <w:rPr>
          <w:rFonts w:ascii="Arial" w:hAnsi="Arial" w:cs="Arial"/>
          <w:noProof/>
          <w:sz w:val="24"/>
          <w:szCs w:val="24"/>
        </w:rPr>
        <w:drawing>
          <wp:anchor distT="0" distB="0" distL="114300" distR="114300" simplePos="0" relativeHeight="251659264" behindDoc="0" locked="0" layoutInCell="1" allowOverlap="1" wp14:anchorId="5BF56DC9" wp14:editId="4C3C9FA0">
            <wp:simplePos x="0" y="0"/>
            <wp:positionH relativeFrom="margin">
              <wp:posOffset>987425</wp:posOffset>
            </wp:positionH>
            <wp:positionV relativeFrom="margin">
              <wp:posOffset>3877183</wp:posOffset>
            </wp:positionV>
            <wp:extent cx="4543039" cy="2419604"/>
            <wp:effectExtent l="12700" t="12700" r="16510" b="1905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a:stretch/>
                  </pic:blipFill>
                  <pic:spPr bwMode="auto">
                    <a:xfrm>
                      <a:off x="0" y="0"/>
                      <a:ext cx="4543039" cy="2419604"/>
                    </a:xfrm>
                    <a:prstGeom prst="rect">
                      <a:avLst/>
                    </a:prstGeom>
                    <a:ln>
                      <a:solidFill>
                        <a:schemeClr val="tx1"/>
                      </a:solidFill>
                    </a:ln>
                    <a:extLst>
                      <a:ext uri="{53640926-AAD7-44D8-BBD7-CCE9431645EC}">
                        <a14:shadowObscured xmlns:a14="http://schemas.microsoft.com/office/drawing/2010/main"/>
                      </a:ext>
                    </a:extLst>
                  </pic:spPr>
                </pic:pic>
              </a:graphicData>
            </a:graphic>
          </wp:anchor>
        </w:drawing>
      </w:r>
    </w:p>
    <w:p w14:paraId="6E293EAF" w14:textId="12CACE7C" w:rsidR="006333FD" w:rsidRPr="006333FD" w:rsidRDefault="006333FD" w:rsidP="003B58EB">
      <w:pPr>
        <w:spacing w:after="0" w:line="360" w:lineRule="auto"/>
        <w:jc w:val="both"/>
        <w:rPr>
          <w:rFonts w:ascii="Arial" w:hAnsi="Arial" w:cs="Arial"/>
          <w:b/>
          <w:sz w:val="24"/>
          <w:szCs w:val="24"/>
        </w:rPr>
      </w:pPr>
    </w:p>
    <w:p w14:paraId="7CF9D331" w14:textId="27C75F19" w:rsidR="006333FD" w:rsidRPr="006333FD" w:rsidRDefault="006333FD" w:rsidP="003B58EB">
      <w:pPr>
        <w:spacing w:after="0" w:line="360" w:lineRule="auto"/>
        <w:jc w:val="both"/>
        <w:rPr>
          <w:rFonts w:ascii="Arial" w:hAnsi="Arial" w:cs="Arial"/>
          <w:b/>
          <w:sz w:val="24"/>
          <w:szCs w:val="24"/>
        </w:rPr>
      </w:pPr>
    </w:p>
    <w:p w14:paraId="75F86951" w14:textId="0EE56BE5" w:rsidR="006333FD" w:rsidRPr="006333FD" w:rsidRDefault="006333FD" w:rsidP="003B58EB">
      <w:pPr>
        <w:spacing w:after="0" w:line="360" w:lineRule="auto"/>
        <w:jc w:val="both"/>
        <w:rPr>
          <w:rFonts w:ascii="Arial" w:hAnsi="Arial" w:cs="Arial"/>
          <w:b/>
          <w:sz w:val="24"/>
          <w:szCs w:val="24"/>
        </w:rPr>
      </w:pPr>
    </w:p>
    <w:p w14:paraId="06D7EA8D" w14:textId="6FB9769F" w:rsidR="006333FD" w:rsidRPr="006333FD" w:rsidRDefault="006333FD" w:rsidP="003B58EB">
      <w:pPr>
        <w:spacing w:after="0" w:line="360" w:lineRule="auto"/>
        <w:jc w:val="both"/>
        <w:rPr>
          <w:rFonts w:ascii="Arial" w:hAnsi="Arial" w:cs="Arial"/>
          <w:b/>
          <w:sz w:val="24"/>
          <w:szCs w:val="24"/>
        </w:rPr>
      </w:pPr>
    </w:p>
    <w:p w14:paraId="5B9C66E5" w14:textId="77777777" w:rsidR="006333FD" w:rsidRPr="006333FD" w:rsidRDefault="006333FD" w:rsidP="003B58EB">
      <w:pPr>
        <w:spacing w:after="0" w:line="360" w:lineRule="auto"/>
        <w:jc w:val="both"/>
        <w:rPr>
          <w:rFonts w:ascii="Arial" w:hAnsi="Arial" w:cs="Arial"/>
          <w:b/>
          <w:sz w:val="24"/>
          <w:szCs w:val="24"/>
        </w:rPr>
      </w:pPr>
    </w:p>
    <w:p w14:paraId="7A0EA0B0" w14:textId="77777777" w:rsidR="006333FD" w:rsidRPr="006333FD" w:rsidRDefault="006333FD" w:rsidP="003B58EB">
      <w:pPr>
        <w:spacing w:after="0" w:line="360" w:lineRule="auto"/>
        <w:jc w:val="both"/>
        <w:rPr>
          <w:rFonts w:ascii="Arial" w:hAnsi="Arial" w:cs="Arial"/>
          <w:b/>
          <w:sz w:val="24"/>
          <w:szCs w:val="24"/>
        </w:rPr>
      </w:pPr>
    </w:p>
    <w:p w14:paraId="51A35DC1" w14:textId="77777777" w:rsidR="006333FD" w:rsidRPr="006333FD" w:rsidRDefault="006333FD" w:rsidP="003B58EB">
      <w:pPr>
        <w:spacing w:after="0" w:line="360" w:lineRule="auto"/>
        <w:jc w:val="both"/>
        <w:rPr>
          <w:rFonts w:ascii="Arial" w:hAnsi="Arial" w:cs="Arial"/>
          <w:b/>
          <w:sz w:val="24"/>
          <w:szCs w:val="24"/>
        </w:rPr>
      </w:pPr>
    </w:p>
    <w:p w14:paraId="44CB1557" w14:textId="77777777" w:rsidR="006333FD" w:rsidRPr="006333FD" w:rsidRDefault="006333FD" w:rsidP="003B58EB">
      <w:pPr>
        <w:spacing w:after="0" w:line="360" w:lineRule="auto"/>
        <w:jc w:val="both"/>
        <w:rPr>
          <w:rFonts w:ascii="Arial" w:hAnsi="Arial" w:cs="Arial"/>
          <w:b/>
          <w:sz w:val="24"/>
          <w:szCs w:val="24"/>
        </w:rPr>
      </w:pPr>
    </w:p>
    <w:p w14:paraId="6565F208" w14:textId="77777777" w:rsidR="006333FD" w:rsidRPr="006333FD" w:rsidRDefault="006333FD" w:rsidP="003B58EB">
      <w:pPr>
        <w:spacing w:after="0" w:line="360" w:lineRule="auto"/>
        <w:jc w:val="both"/>
        <w:rPr>
          <w:rFonts w:ascii="Arial" w:hAnsi="Arial" w:cs="Arial"/>
          <w:b/>
          <w:sz w:val="24"/>
          <w:szCs w:val="24"/>
        </w:rPr>
      </w:pPr>
    </w:p>
    <w:p w14:paraId="2F3023BC" w14:textId="77777777" w:rsidR="006333FD" w:rsidRPr="006333FD" w:rsidRDefault="006333FD" w:rsidP="006333FD">
      <w:pPr>
        <w:spacing w:line="360" w:lineRule="auto"/>
        <w:jc w:val="center"/>
        <w:rPr>
          <w:rFonts w:ascii="Arial" w:hAnsi="Arial" w:cs="Arial"/>
          <w:sz w:val="24"/>
          <w:szCs w:val="24"/>
        </w:rPr>
      </w:pPr>
      <w:r w:rsidRPr="006333FD">
        <w:rPr>
          <w:rFonts w:ascii="Arial" w:hAnsi="Arial" w:cs="Arial"/>
          <w:sz w:val="24"/>
          <w:szCs w:val="24"/>
        </w:rPr>
        <w:t>Fonte: Relatório Justiça em Números 2019</w:t>
      </w:r>
    </w:p>
    <w:p w14:paraId="64D7AE4C"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 </w:t>
      </w:r>
    </w:p>
    <w:p w14:paraId="414692FE"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O CNJ aferiu também os principais assuntos debatidos nessas demandas coletivas, sendo eles: benefícios previdenciários, conflitos de competência, servidores públicos, expurgos inflacionários, saúde, consumidor, improbidade administrativa, ambiental, trabalhista, multas e provas. </w:t>
      </w:r>
    </w:p>
    <w:p w14:paraId="4B81FE01"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lastRenderedPageBreak/>
        <w:t>A área de saúde revelou um outro dado importante na pesquisa: a maior parte das ações ajuizadas pelo Ministério Público diz respeito à satisfação de demandas pontuais. Assim, esses instrumentos que foram elaborados para provocar a reflexão sobre as políticas públicas de determinado setor acabaram sendo utilizados com propósitos imediatistas</w:t>
      </w:r>
      <w:r w:rsidRPr="006333FD">
        <w:rPr>
          <w:rStyle w:val="Refdenotaderodap"/>
          <w:rFonts w:ascii="Arial" w:hAnsi="Arial" w:cs="Arial"/>
          <w:sz w:val="24"/>
          <w:szCs w:val="24"/>
        </w:rPr>
        <w:footnoteReference w:id="3"/>
      </w:r>
      <w:r w:rsidRPr="006333FD">
        <w:rPr>
          <w:rFonts w:ascii="Arial" w:hAnsi="Arial" w:cs="Arial"/>
          <w:sz w:val="24"/>
          <w:szCs w:val="24"/>
        </w:rPr>
        <w:t xml:space="preserve">.  </w:t>
      </w:r>
    </w:p>
    <w:p w14:paraId="54FA3D23"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Além desse manejo para atender necessidades particulares, uma parcela considerável das ações civis públicas é utilizada como precedente para fundamentar a concessão de pedidos individuais. Isso foi particularmente detectado em relação aos temas de benefício previdenciário e expurgos inflacionários. </w:t>
      </w:r>
    </w:p>
    <w:p w14:paraId="1F083A37"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Ambas as estratégias são notadas com preocupação pelos pesquisadores na medida em que refletem um comportamento litigante – endossado pela jurisprudência - que reverbera em um caos jurisdicional com a proliferação de ações coletivas com vistas a ganhos individuais; e a distorção desses instrumentos voltados à defesa direitos coletivos em sentido estrito ou difusos de tal forma que prejudica a mobilização social e ganhos em larga escala</w:t>
      </w:r>
      <w:r w:rsidRPr="006333FD">
        <w:rPr>
          <w:rStyle w:val="Refdenotaderodap"/>
          <w:rFonts w:ascii="Arial" w:hAnsi="Arial" w:cs="Arial"/>
          <w:sz w:val="24"/>
          <w:szCs w:val="24"/>
        </w:rPr>
        <w:footnoteReference w:id="4"/>
      </w:r>
      <w:r w:rsidRPr="006333FD">
        <w:rPr>
          <w:rFonts w:ascii="Arial" w:hAnsi="Arial" w:cs="Arial"/>
          <w:sz w:val="24"/>
          <w:szCs w:val="24"/>
        </w:rPr>
        <w:t>. Cabe ressalvar que este problema não aparece de maneira uniforme em todos os assuntos</w:t>
      </w:r>
      <w:r w:rsidRPr="006333FD">
        <w:rPr>
          <w:rStyle w:val="Refdenotaderodap"/>
          <w:rFonts w:ascii="Arial" w:hAnsi="Arial" w:cs="Arial"/>
          <w:sz w:val="24"/>
          <w:szCs w:val="24"/>
        </w:rPr>
        <w:footnoteReference w:id="5"/>
      </w:r>
      <w:r w:rsidRPr="006333FD">
        <w:rPr>
          <w:rFonts w:ascii="Arial" w:hAnsi="Arial" w:cs="Arial"/>
          <w:sz w:val="24"/>
          <w:szCs w:val="24"/>
        </w:rPr>
        <w:t xml:space="preserve">. </w:t>
      </w:r>
    </w:p>
    <w:p w14:paraId="19AE02EF"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Este não foi o único ponto sensível percebido pela pesquisa em relações às demandas coletivas no Brasil. Uma fragilidade que ficou clara é a precariedade da estrutura judiciária para executar as medidas determinadas em sede de ações coletivas em sentido lato, sendo tal fato amplamente reconhecido pelos próprios magistrados</w:t>
      </w:r>
      <w:r w:rsidRPr="006333FD">
        <w:rPr>
          <w:rStyle w:val="Refdenotaderodap"/>
          <w:rFonts w:ascii="Arial" w:hAnsi="Arial" w:cs="Arial"/>
          <w:sz w:val="24"/>
          <w:szCs w:val="24"/>
        </w:rPr>
        <w:footnoteReference w:id="6"/>
      </w:r>
      <w:r w:rsidRPr="006333FD">
        <w:rPr>
          <w:rFonts w:ascii="Arial" w:hAnsi="Arial" w:cs="Arial"/>
          <w:sz w:val="24"/>
          <w:szCs w:val="24"/>
        </w:rPr>
        <w:t xml:space="preserve">. </w:t>
      </w:r>
    </w:p>
    <w:p w14:paraId="43B35215"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Outro entrave chamou a atenção do CNJ descoberto através da pesquisa empírica foi a falta de familiaridade dos magistrados com questões relacionadas aos direitos coletivos e com os respectivos instrumentos de tutela desses direitos. Nesse sentido, cerca de 89,3% dos juízes</w:t>
      </w:r>
      <w:r w:rsidRPr="006333FD">
        <w:rPr>
          <w:rStyle w:val="Refdenotaderodap"/>
          <w:rFonts w:ascii="Arial" w:hAnsi="Arial" w:cs="Arial"/>
          <w:sz w:val="24"/>
          <w:szCs w:val="24"/>
        </w:rPr>
        <w:footnoteReference w:id="7"/>
      </w:r>
      <w:r w:rsidRPr="006333FD">
        <w:rPr>
          <w:rFonts w:ascii="Arial" w:hAnsi="Arial" w:cs="Arial"/>
          <w:sz w:val="24"/>
          <w:szCs w:val="24"/>
        </w:rPr>
        <w:t xml:space="preserve"> reconheceram a carência da formação da magistratura para lidar com a complexidade dessas matérias. </w:t>
      </w:r>
    </w:p>
    <w:p w14:paraId="5160BF80"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lastRenderedPageBreak/>
        <w:t xml:space="preserve">Além desses, algumas questões processuais foram apontadas como problemáticas, como por exemplo, a controvérsia existente entorno da abrangência espacial da coisa julgada: alguns juízes entendem que as decisões só podem ser executadas em jurisdições diversas quando a sentença tiver alcance regional ou nacional; </w:t>
      </w:r>
      <w:proofErr w:type="gramStart"/>
      <w:r w:rsidRPr="006333FD">
        <w:rPr>
          <w:rFonts w:ascii="Arial" w:hAnsi="Arial" w:cs="Arial"/>
          <w:sz w:val="24"/>
          <w:szCs w:val="24"/>
        </w:rPr>
        <w:t>enquanto que</w:t>
      </w:r>
      <w:proofErr w:type="gramEnd"/>
      <w:r w:rsidRPr="006333FD">
        <w:rPr>
          <w:rFonts w:ascii="Arial" w:hAnsi="Arial" w:cs="Arial"/>
          <w:sz w:val="24"/>
          <w:szCs w:val="24"/>
        </w:rPr>
        <w:t xml:space="preserve"> outros não fazem esta restrição. </w:t>
      </w:r>
    </w:p>
    <w:p w14:paraId="079F8378"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Este panorama mostra o quanto o tratamento das demandas coletivas no Judiciário é permeado de desafios. A partir de uma perspectiva que pretende analisar outros cenários para a discussão deste assunto, os próximos tópicos têm a proposta de aprofundar o respaldo jurídico que existe para o uso da consensualidade e o quanto a </w:t>
      </w:r>
      <w:r w:rsidRPr="006333FD">
        <w:rPr>
          <w:rFonts w:ascii="Arial" w:hAnsi="Arial" w:cs="Arial"/>
          <w:i/>
          <w:iCs/>
          <w:sz w:val="24"/>
          <w:szCs w:val="24"/>
        </w:rPr>
        <w:t xml:space="preserve">online dispute </w:t>
      </w:r>
      <w:proofErr w:type="spellStart"/>
      <w:r w:rsidRPr="006333FD">
        <w:rPr>
          <w:rFonts w:ascii="Arial" w:hAnsi="Arial" w:cs="Arial"/>
          <w:i/>
          <w:iCs/>
          <w:sz w:val="24"/>
          <w:szCs w:val="24"/>
        </w:rPr>
        <w:t>resolution</w:t>
      </w:r>
      <w:proofErr w:type="spellEnd"/>
      <w:r w:rsidRPr="006333FD">
        <w:rPr>
          <w:rFonts w:ascii="Arial" w:hAnsi="Arial" w:cs="Arial"/>
          <w:sz w:val="24"/>
          <w:szCs w:val="24"/>
        </w:rPr>
        <w:t xml:space="preserve"> pode contribuir para a solução dessas questões. </w:t>
      </w:r>
    </w:p>
    <w:p w14:paraId="3AF40303" w14:textId="77777777" w:rsidR="006333FD" w:rsidRDefault="006333FD" w:rsidP="003B58EB">
      <w:pPr>
        <w:spacing w:after="0" w:line="360" w:lineRule="auto"/>
        <w:jc w:val="both"/>
        <w:rPr>
          <w:rFonts w:ascii="Arial" w:hAnsi="Arial" w:cs="Arial"/>
          <w:b/>
          <w:sz w:val="24"/>
          <w:szCs w:val="24"/>
        </w:rPr>
      </w:pPr>
    </w:p>
    <w:p w14:paraId="06FEB824" w14:textId="1340823D" w:rsidR="003B58EB" w:rsidRPr="00612CC0" w:rsidRDefault="00FF0AF9" w:rsidP="003B58EB">
      <w:pPr>
        <w:spacing w:after="0" w:line="360" w:lineRule="auto"/>
        <w:jc w:val="both"/>
        <w:rPr>
          <w:rFonts w:ascii="Arial" w:hAnsi="Arial" w:cs="Arial"/>
          <w:b/>
          <w:sz w:val="24"/>
          <w:szCs w:val="24"/>
        </w:rPr>
      </w:pPr>
      <w:r>
        <w:rPr>
          <w:rFonts w:ascii="Arial" w:hAnsi="Arial" w:cs="Arial"/>
          <w:b/>
          <w:sz w:val="24"/>
          <w:szCs w:val="24"/>
        </w:rPr>
        <w:t>2</w:t>
      </w:r>
      <w:r w:rsidR="003B58EB" w:rsidRPr="00612CC0">
        <w:rPr>
          <w:rFonts w:ascii="Arial" w:hAnsi="Arial" w:cs="Arial"/>
          <w:b/>
          <w:sz w:val="24"/>
          <w:szCs w:val="24"/>
        </w:rPr>
        <w:t xml:space="preserve">. </w:t>
      </w:r>
      <w:r w:rsidR="006333FD">
        <w:rPr>
          <w:rFonts w:ascii="Arial" w:hAnsi="Arial" w:cs="Arial"/>
          <w:b/>
          <w:sz w:val="24"/>
          <w:szCs w:val="24"/>
        </w:rPr>
        <w:t>Consensualidade e demandas coletivas</w:t>
      </w:r>
    </w:p>
    <w:p w14:paraId="74EAE490" w14:textId="77777777" w:rsidR="00FF0AF9" w:rsidRPr="006333FD" w:rsidRDefault="00FF0AF9" w:rsidP="00612CC0">
      <w:pPr>
        <w:spacing w:after="0" w:line="360" w:lineRule="auto"/>
        <w:ind w:firstLine="851"/>
        <w:jc w:val="both"/>
        <w:rPr>
          <w:rFonts w:ascii="Arial" w:hAnsi="Arial" w:cs="Arial"/>
          <w:sz w:val="24"/>
          <w:szCs w:val="24"/>
        </w:rPr>
      </w:pPr>
    </w:p>
    <w:p w14:paraId="2FC296CD"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A primeira referência normativa de consensualidade nas ações coletivas foi na lei de ação civil pública através do termo de ajustamento de conduta, que foi inserido pelo Código de Defesa do Consumidor no artigo 5º, parágrafo 6º da Lei n</w:t>
      </w:r>
      <w:r w:rsidRPr="006333FD">
        <w:rPr>
          <w:rFonts w:ascii="Arial" w:hAnsi="Arial" w:cs="Arial"/>
          <w:sz w:val="24"/>
          <w:szCs w:val="24"/>
          <w:vertAlign w:val="superscript"/>
        </w:rPr>
        <w:t>o</w:t>
      </w:r>
      <w:r w:rsidRPr="006333FD">
        <w:rPr>
          <w:rFonts w:ascii="Arial" w:hAnsi="Arial" w:cs="Arial"/>
          <w:sz w:val="24"/>
          <w:szCs w:val="24"/>
        </w:rPr>
        <w:t xml:space="preserve">. 7.347 de 1985. </w:t>
      </w:r>
    </w:p>
    <w:p w14:paraId="571FFBB5"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O compromisso de ajustamento de conduta, à semelhança da conciliação, da mediação e da transação, equivale a um meio consensual e colaborativo de solução do conflito e pode ser firmado tanto na fase </w:t>
      </w:r>
      <w:proofErr w:type="spellStart"/>
      <w:r w:rsidRPr="006333FD">
        <w:rPr>
          <w:rFonts w:ascii="Arial" w:hAnsi="Arial" w:cs="Arial"/>
          <w:sz w:val="24"/>
          <w:szCs w:val="24"/>
        </w:rPr>
        <w:t>pré</w:t>
      </w:r>
      <w:proofErr w:type="spellEnd"/>
      <w:r w:rsidRPr="006333FD">
        <w:rPr>
          <w:rFonts w:ascii="Arial" w:hAnsi="Arial" w:cs="Arial"/>
          <w:sz w:val="24"/>
          <w:szCs w:val="24"/>
        </w:rPr>
        <w:t>-processual quanto quando o litígio já estiver em curso. O Ministério Público tem uma posição relevante para a constituição desse documento, tendo em vista a reparação do dano e a tutela dos direitos, nos moldes do artigo 14 da Resolução n</w:t>
      </w:r>
      <w:r w:rsidRPr="006333FD">
        <w:rPr>
          <w:rFonts w:ascii="Arial" w:hAnsi="Arial" w:cs="Arial"/>
          <w:sz w:val="24"/>
          <w:szCs w:val="24"/>
          <w:vertAlign w:val="superscript"/>
        </w:rPr>
        <w:t>o</w:t>
      </w:r>
      <w:r w:rsidRPr="006333FD">
        <w:rPr>
          <w:rFonts w:ascii="Arial" w:hAnsi="Arial" w:cs="Arial"/>
          <w:sz w:val="24"/>
          <w:szCs w:val="24"/>
        </w:rPr>
        <w:t xml:space="preserve">. 23 do Conselho Nacional do Ministério Público.  </w:t>
      </w:r>
    </w:p>
    <w:p w14:paraId="0108224E"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A lei n</w:t>
      </w:r>
      <w:r w:rsidRPr="006333FD">
        <w:rPr>
          <w:rFonts w:ascii="Arial" w:hAnsi="Arial" w:cs="Arial"/>
          <w:sz w:val="24"/>
          <w:szCs w:val="24"/>
          <w:vertAlign w:val="superscript"/>
        </w:rPr>
        <w:t>o</w:t>
      </w:r>
      <w:r w:rsidRPr="006333FD">
        <w:rPr>
          <w:rFonts w:ascii="Arial" w:hAnsi="Arial" w:cs="Arial"/>
          <w:sz w:val="24"/>
          <w:szCs w:val="24"/>
        </w:rPr>
        <w:t xml:space="preserve">. 13.140/2015 (artigo 3°, parágrafo 2° e artigo 32, inciso III) deu um novo impulso à consensualidade nas demandas coletivas na medida em que tratou expressamente sobre a composição em direitos indisponíveis e promoveu o termo de ajustamento de conduta na resolução de conflitos no âmbito da Administração Pública; o qual já havia sido anunciado previamente pelo Código de Processo Civil em seu artigo 174, inciso III. </w:t>
      </w:r>
    </w:p>
    <w:p w14:paraId="3018ABC1"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Mais recentemente, a legislação avançou ainda mais no sentido de admitir acordos mesmo em sede de improbidade administrativa. A lei n</w:t>
      </w:r>
      <w:r w:rsidRPr="006333FD">
        <w:rPr>
          <w:rFonts w:ascii="Arial" w:hAnsi="Arial" w:cs="Arial"/>
          <w:sz w:val="24"/>
          <w:szCs w:val="24"/>
          <w:vertAlign w:val="superscript"/>
        </w:rPr>
        <w:t>o</w:t>
      </w:r>
      <w:r w:rsidRPr="006333FD">
        <w:rPr>
          <w:rFonts w:ascii="Arial" w:hAnsi="Arial" w:cs="Arial"/>
          <w:sz w:val="24"/>
          <w:szCs w:val="24"/>
        </w:rPr>
        <w:t xml:space="preserve">. 13.964 de 2019 deu nova redação </w:t>
      </w:r>
      <w:r w:rsidRPr="006333FD">
        <w:rPr>
          <w:rFonts w:ascii="Arial" w:hAnsi="Arial" w:cs="Arial"/>
          <w:sz w:val="24"/>
          <w:szCs w:val="24"/>
        </w:rPr>
        <w:lastRenderedPageBreak/>
        <w:t xml:space="preserve">ao parágrafo 1º do artigo 17 para possibilitar a celebração de ajustes nas ações deste domínio. </w:t>
      </w:r>
    </w:p>
    <w:p w14:paraId="3D81E567"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Uma vez que a solução pela consensualidade está consolidada com respaldo normativo, um ponto de discussão que se abre é quanto à homologação judicial dos acordos firmados nessas ações coletivas. Humberto Dalla </w:t>
      </w:r>
      <w:proofErr w:type="spellStart"/>
      <w:r w:rsidRPr="006333FD">
        <w:rPr>
          <w:rFonts w:ascii="Arial" w:hAnsi="Arial" w:cs="Arial"/>
          <w:sz w:val="24"/>
          <w:szCs w:val="24"/>
        </w:rPr>
        <w:t>Bernardina</w:t>
      </w:r>
      <w:proofErr w:type="spellEnd"/>
      <w:r w:rsidRPr="006333FD">
        <w:rPr>
          <w:rFonts w:ascii="Arial" w:hAnsi="Arial" w:cs="Arial"/>
          <w:sz w:val="24"/>
          <w:szCs w:val="24"/>
        </w:rPr>
        <w:t xml:space="preserve"> de Pinho</w:t>
      </w:r>
      <w:r w:rsidRPr="006333FD">
        <w:rPr>
          <w:rStyle w:val="Refdenotaderodap"/>
          <w:rFonts w:ascii="Arial" w:hAnsi="Arial" w:cs="Arial"/>
          <w:sz w:val="24"/>
          <w:szCs w:val="24"/>
        </w:rPr>
        <w:footnoteReference w:id="8"/>
      </w:r>
      <w:r w:rsidRPr="006333FD">
        <w:rPr>
          <w:rFonts w:ascii="Arial" w:hAnsi="Arial" w:cs="Arial"/>
          <w:sz w:val="24"/>
          <w:szCs w:val="24"/>
        </w:rPr>
        <w:t xml:space="preserve"> propõe a seguinte distinção se o procedimento consensual se desenvolve por iniciativa de uma instituição pública (no âmbito das câmaras de prevenção e resolução de conflitos dos entes ou órgãos da Administração) e as partes alcançam um ajuste final, o mesmo produz efeitos imediatos, em razão do disposto no parágrafo 3º do artigo 32 da lei n</w:t>
      </w:r>
      <w:r w:rsidRPr="006333FD">
        <w:rPr>
          <w:rFonts w:ascii="Arial" w:hAnsi="Arial" w:cs="Arial"/>
          <w:sz w:val="24"/>
          <w:szCs w:val="24"/>
          <w:vertAlign w:val="superscript"/>
        </w:rPr>
        <w:t>o</w:t>
      </w:r>
      <w:r w:rsidRPr="006333FD">
        <w:rPr>
          <w:rFonts w:ascii="Arial" w:hAnsi="Arial" w:cs="Arial"/>
          <w:sz w:val="24"/>
          <w:szCs w:val="24"/>
        </w:rPr>
        <w:t xml:space="preserve">. 13.140/2015. </w:t>
      </w:r>
    </w:p>
    <w:p w14:paraId="3B4A810A"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Por outro lado, a homologação judicial é uma </w:t>
      </w:r>
      <w:r w:rsidRPr="006333FD">
        <w:rPr>
          <w:rFonts w:ascii="Arial" w:hAnsi="Arial" w:cs="Arial"/>
          <w:i/>
          <w:iCs/>
          <w:sz w:val="24"/>
          <w:szCs w:val="24"/>
        </w:rPr>
        <w:t xml:space="preserve">conditio </w:t>
      </w:r>
      <w:proofErr w:type="spellStart"/>
      <w:r w:rsidRPr="006333FD">
        <w:rPr>
          <w:rFonts w:ascii="Arial" w:hAnsi="Arial" w:cs="Arial"/>
          <w:i/>
          <w:iCs/>
          <w:sz w:val="24"/>
          <w:szCs w:val="24"/>
        </w:rPr>
        <w:t>sine</w:t>
      </w:r>
      <w:proofErr w:type="spellEnd"/>
      <w:r w:rsidRPr="006333FD">
        <w:rPr>
          <w:rFonts w:ascii="Arial" w:hAnsi="Arial" w:cs="Arial"/>
          <w:i/>
          <w:iCs/>
          <w:sz w:val="24"/>
          <w:szCs w:val="24"/>
        </w:rPr>
        <w:t xml:space="preserve"> </w:t>
      </w:r>
      <w:proofErr w:type="spellStart"/>
      <w:r w:rsidRPr="006333FD">
        <w:rPr>
          <w:rFonts w:ascii="Arial" w:hAnsi="Arial" w:cs="Arial"/>
          <w:i/>
          <w:iCs/>
          <w:sz w:val="24"/>
          <w:szCs w:val="24"/>
        </w:rPr>
        <w:t>qua</w:t>
      </w:r>
      <w:proofErr w:type="spellEnd"/>
      <w:r w:rsidRPr="006333FD">
        <w:rPr>
          <w:rFonts w:ascii="Arial" w:hAnsi="Arial" w:cs="Arial"/>
          <w:i/>
          <w:iCs/>
          <w:sz w:val="24"/>
          <w:szCs w:val="24"/>
        </w:rPr>
        <w:t xml:space="preserve"> non</w:t>
      </w:r>
      <w:r w:rsidRPr="006333FD">
        <w:rPr>
          <w:rFonts w:ascii="Arial" w:hAnsi="Arial" w:cs="Arial"/>
          <w:sz w:val="24"/>
          <w:szCs w:val="24"/>
        </w:rPr>
        <w:t xml:space="preserve"> quando o acordo é fruto de conciliação ou mediação em procedimento extrajudicial instaurado por instituição privada (associação de classe, por exemplo). Caso o trato ocorra no curso de ação coletiva, o autor entende que seria sempre necessária a homologação judicial. </w:t>
      </w:r>
    </w:p>
    <w:p w14:paraId="34452BE8"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Não obstante, cabe pontuar que o modelo brasileiro foi inspirado no </w:t>
      </w:r>
      <w:proofErr w:type="spellStart"/>
      <w:r w:rsidRPr="006333FD">
        <w:rPr>
          <w:rFonts w:ascii="Arial" w:hAnsi="Arial" w:cs="Arial"/>
          <w:i/>
          <w:iCs/>
          <w:sz w:val="24"/>
          <w:szCs w:val="24"/>
        </w:rPr>
        <w:t>class</w:t>
      </w:r>
      <w:proofErr w:type="spellEnd"/>
      <w:r w:rsidRPr="006333FD">
        <w:rPr>
          <w:rFonts w:ascii="Arial" w:hAnsi="Arial" w:cs="Arial"/>
          <w:i/>
          <w:iCs/>
          <w:sz w:val="24"/>
          <w:szCs w:val="24"/>
        </w:rPr>
        <w:t xml:space="preserve"> </w:t>
      </w:r>
      <w:proofErr w:type="spellStart"/>
      <w:r w:rsidRPr="006333FD">
        <w:rPr>
          <w:rFonts w:ascii="Arial" w:hAnsi="Arial" w:cs="Arial"/>
          <w:i/>
          <w:iCs/>
          <w:sz w:val="24"/>
          <w:szCs w:val="24"/>
        </w:rPr>
        <w:t>action</w:t>
      </w:r>
      <w:proofErr w:type="spellEnd"/>
      <w:r w:rsidRPr="006333FD">
        <w:rPr>
          <w:rStyle w:val="Refdenotaderodap"/>
          <w:rFonts w:ascii="Arial" w:hAnsi="Arial" w:cs="Arial"/>
          <w:i/>
          <w:iCs/>
          <w:sz w:val="24"/>
          <w:szCs w:val="24"/>
        </w:rPr>
        <w:footnoteReference w:id="9"/>
      </w:r>
      <w:r w:rsidRPr="006333FD">
        <w:rPr>
          <w:rFonts w:ascii="Arial" w:hAnsi="Arial" w:cs="Arial"/>
          <w:sz w:val="24"/>
          <w:szCs w:val="24"/>
        </w:rPr>
        <w:t xml:space="preserve"> norte-americano. Nos EUA, o Regulamento Federal de Processo Civil estabelece que a homologação judicial é prevista para os acordos em sede de ações coletivas para ter efeito vinculante sobre as partes que não tiveram o seu </w:t>
      </w:r>
      <w:proofErr w:type="spellStart"/>
      <w:r w:rsidRPr="006333FD">
        <w:rPr>
          <w:rFonts w:ascii="Arial" w:hAnsi="Arial" w:cs="Arial"/>
          <w:i/>
          <w:iCs/>
          <w:sz w:val="24"/>
          <w:szCs w:val="24"/>
        </w:rPr>
        <w:t>day</w:t>
      </w:r>
      <w:proofErr w:type="spellEnd"/>
      <w:r w:rsidRPr="006333FD">
        <w:rPr>
          <w:rFonts w:ascii="Arial" w:hAnsi="Arial" w:cs="Arial"/>
          <w:i/>
          <w:iCs/>
          <w:sz w:val="24"/>
          <w:szCs w:val="24"/>
        </w:rPr>
        <w:t xml:space="preserve"> in </w:t>
      </w:r>
      <w:proofErr w:type="spellStart"/>
      <w:r w:rsidRPr="006333FD">
        <w:rPr>
          <w:rFonts w:ascii="Arial" w:hAnsi="Arial" w:cs="Arial"/>
          <w:i/>
          <w:iCs/>
          <w:sz w:val="24"/>
          <w:szCs w:val="24"/>
        </w:rPr>
        <w:t>court</w:t>
      </w:r>
      <w:proofErr w:type="spellEnd"/>
      <w:r w:rsidRPr="006333FD">
        <w:rPr>
          <w:rFonts w:ascii="Arial" w:hAnsi="Arial" w:cs="Arial"/>
          <w:sz w:val="24"/>
          <w:szCs w:val="24"/>
        </w:rPr>
        <w:t xml:space="preserve">, ou seja, sobre os indivíduos que não trataram diretamente da </w:t>
      </w:r>
      <w:proofErr w:type="gramStart"/>
      <w:r w:rsidRPr="006333FD">
        <w:rPr>
          <w:rFonts w:ascii="Arial" w:hAnsi="Arial" w:cs="Arial"/>
          <w:sz w:val="24"/>
          <w:szCs w:val="24"/>
        </w:rPr>
        <w:t>questão</w:t>
      </w:r>
      <w:proofErr w:type="gramEnd"/>
      <w:r w:rsidRPr="006333FD">
        <w:rPr>
          <w:rFonts w:ascii="Arial" w:hAnsi="Arial" w:cs="Arial"/>
          <w:sz w:val="24"/>
          <w:szCs w:val="24"/>
        </w:rPr>
        <w:t xml:space="preserve"> mas que são afetados por ela</w:t>
      </w:r>
      <w:r w:rsidRPr="006333FD">
        <w:rPr>
          <w:rStyle w:val="Refdenotaderodap"/>
          <w:rFonts w:ascii="Arial" w:hAnsi="Arial" w:cs="Arial"/>
          <w:sz w:val="24"/>
          <w:szCs w:val="24"/>
        </w:rPr>
        <w:footnoteReference w:id="10"/>
      </w:r>
      <w:r w:rsidRPr="006333FD">
        <w:rPr>
          <w:rFonts w:ascii="Arial" w:hAnsi="Arial" w:cs="Arial"/>
          <w:sz w:val="24"/>
          <w:szCs w:val="24"/>
        </w:rPr>
        <w:t xml:space="preserve">. Assim, para que o pacto gere efeitos que vinculem esses terceiros que não tiveram a oportunidade de participar de maneira mais ativa da discussão, o tribunal precisa homologá-lo. </w:t>
      </w:r>
    </w:p>
    <w:p w14:paraId="5CB243DD"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lastRenderedPageBreak/>
        <w:t>Assim, a homologação tem um objetivo claro de funcionar como uma espécie de controle sobre os direitos dos sujeitos que estiveram ausentes na formação do acordo originado a partir de uma ação coletiva. Este ato do Tribunal se destina a análise de três elementos fundamentais do ajuste: justiça, razoabilidade e adequação.</w:t>
      </w:r>
    </w:p>
    <w:p w14:paraId="3DE2544B"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 A justiça está associada à verificação das vantagens auferidas pelo grupo presente na negociação em relação aos que ficaram ausentes. A adequação e a razoabilidade são medidas a partir de uma ponderação entre os benefícios gerados com pelo pacto e as chances de êxito da demanda no judiciário; o que precisa ser analisado casuisticamente</w:t>
      </w:r>
      <w:r w:rsidRPr="006333FD">
        <w:rPr>
          <w:rStyle w:val="Refdenotaderodap"/>
          <w:rFonts w:ascii="Arial" w:hAnsi="Arial" w:cs="Arial"/>
          <w:sz w:val="24"/>
          <w:szCs w:val="24"/>
        </w:rPr>
        <w:footnoteReference w:id="11"/>
      </w:r>
      <w:r w:rsidRPr="006333FD">
        <w:rPr>
          <w:rFonts w:ascii="Arial" w:hAnsi="Arial" w:cs="Arial"/>
          <w:sz w:val="24"/>
          <w:szCs w:val="24"/>
        </w:rPr>
        <w:t xml:space="preserve">. </w:t>
      </w:r>
    </w:p>
    <w:p w14:paraId="2EC8A760"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O entendimento que defende a homologação como uma regra para as ações coletivas sob o fundamento de que tratam, indistintamente, de direitos indisponíveis acaba indo de encontro à própria ideia de </w:t>
      </w:r>
      <w:proofErr w:type="spellStart"/>
      <w:r w:rsidRPr="006333FD">
        <w:rPr>
          <w:rFonts w:ascii="Arial" w:hAnsi="Arial" w:cs="Arial"/>
          <w:sz w:val="24"/>
          <w:szCs w:val="24"/>
        </w:rPr>
        <w:t>desjudicialização</w:t>
      </w:r>
      <w:proofErr w:type="spellEnd"/>
      <w:r w:rsidRPr="006333FD">
        <w:rPr>
          <w:rFonts w:ascii="Arial" w:hAnsi="Arial" w:cs="Arial"/>
          <w:sz w:val="24"/>
          <w:szCs w:val="24"/>
        </w:rPr>
        <w:t xml:space="preserve"> dessas demandas; o que justamente embasa o uso de métodos consensuais de solução de conflitos. Nesse sentido, a participação do Ministério Público, Defensoria e outros órgãos, ao menos na maior parcela dos casos, seria suficiente para garantir a proteção dos direitos de todos os atingidos e a apreciação do juiz seria somente para circunstâncias excepcionais. </w:t>
      </w:r>
    </w:p>
    <w:p w14:paraId="62C9D774"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Além disso, a submissão indistinta dos acordos à esfera judicial esbarraria nos problemas já sinalizados de estrutura deficitária do judiciário para acompanhar essas questões e de insuficiência de domínio da magistratura para tratar dos temas relacionados às ações coletivas em razão da complexidade dos assuntos envolvidos e que não estão relacionados, exclusivamente, ao Direito. </w:t>
      </w:r>
    </w:p>
    <w:p w14:paraId="745B6537"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Recentemente, a Lei n</w:t>
      </w:r>
      <w:r w:rsidRPr="006333FD">
        <w:rPr>
          <w:rFonts w:ascii="Arial" w:hAnsi="Arial" w:cs="Arial"/>
          <w:sz w:val="24"/>
          <w:szCs w:val="24"/>
          <w:vertAlign w:val="superscript"/>
        </w:rPr>
        <w:t>o</w:t>
      </w:r>
      <w:r w:rsidRPr="006333FD">
        <w:rPr>
          <w:rFonts w:ascii="Arial" w:hAnsi="Arial" w:cs="Arial"/>
          <w:sz w:val="24"/>
          <w:szCs w:val="24"/>
        </w:rPr>
        <w:t xml:space="preserve">. 13.988 de 14 de abril de 2020, a qual trata da transação fiscal no âmbito federal deu mais um impulso à consensualidade para a solução de conflitos que envolvem a Administração Pública, em particular em uma área tradicionalmente resistente às vias alternativas de tratamento das disputas. </w:t>
      </w:r>
    </w:p>
    <w:p w14:paraId="7146D448"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Esta lei segue a tendência de outras legislações no sentido de promover a </w:t>
      </w:r>
      <w:proofErr w:type="spellStart"/>
      <w:r w:rsidRPr="006333FD">
        <w:rPr>
          <w:rFonts w:ascii="Arial" w:hAnsi="Arial" w:cs="Arial"/>
          <w:sz w:val="24"/>
          <w:szCs w:val="24"/>
        </w:rPr>
        <w:t>desjudicialização</w:t>
      </w:r>
      <w:proofErr w:type="spellEnd"/>
      <w:r w:rsidRPr="006333FD">
        <w:rPr>
          <w:rFonts w:ascii="Arial" w:hAnsi="Arial" w:cs="Arial"/>
          <w:sz w:val="24"/>
          <w:szCs w:val="24"/>
        </w:rPr>
        <w:t xml:space="preserve"> em matéria de direito público, sendo neste caso, o foco voltado à </w:t>
      </w:r>
      <w:r w:rsidRPr="006333FD">
        <w:rPr>
          <w:rFonts w:ascii="Arial" w:hAnsi="Arial" w:cs="Arial"/>
          <w:sz w:val="24"/>
          <w:szCs w:val="24"/>
        </w:rPr>
        <w:lastRenderedPageBreak/>
        <w:t>cobrança de créditos públicos</w:t>
      </w:r>
      <w:r w:rsidRPr="006333FD">
        <w:rPr>
          <w:rStyle w:val="Refdenotaderodap"/>
          <w:rFonts w:ascii="Arial" w:hAnsi="Arial" w:cs="Arial"/>
          <w:sz w:val="24"/>
          <w:szCs w:val="24"/>
        </w:rPr>
        <w:footnoteReference w:id="12"/>
      </w:r>
      <w:r w:rsidRPr="006333FD">
        <w:rPr>
          <w:rFonts w:ascii="Arial" w:hAnsi="Arial" w:cs="Arial"/>
          <w:sz w:val="24"/>
          <w:szCs w:val="24"/>
        </w:rPr>
        <w:t>. Uma das modalidades previstas de transação é a por proposta individual (artigo 3º, inciso I), ou seja, a que se dá por iniciativa do devedor</w:t>
      </w:r>
      <w:r w:rsidRPr="006333FD">
        <w:rPr>
          <w:rStyle w:val="Refdenotaderodap"/>
          <w:rFonts w:ascii="Arial" w:hAnsi="Arial" w:cs="Arial"/>
          <w:sz w:val="24"/>
          <w:szCs w:val="24"/>
        </w:rPr>
        <w:footnoteReference w:id="13"/>
      </w:r>
      <w:r w:rsidRPr="006333FD">
        <w:rPr>
          <w:rFonts w:ascii="Arial" w:hAnsi="Arial" w:cs="Arial"/>
          <w:sz w:val="24"/>
          <w:szCs w:val="24"/>
        </w:rPr>
        <w:t xml:space="preserve">. </w:t>
      </w:r>
    </w:p>
    <w:p w14:paraId="454ABE2D"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Uma outra contribuição importante da legislação e, neste aspecto, sem precedentes, foi a forma como tratou a responsabilidade pessoal do agente público que atua na celebração desses acordos. O artigo 29 dispõe que a responsabilização só ocorrerá nas hipóteses em que houver dolo ou fraude para obter vantagem indevida para si ou pra outrem; e tem aplicação inclusive para os órgãos de controle externo. </w:t>
      </w:r>
    </w:p>
    <w:p w14:paraId="5F6E8D1A"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Através deste dispositivo, o legislador conferiu uma blindagem aos advogados públicos que têm receio por enveredar por condutas consensuais tendo em vista um sistema fortemente punitivo e que dá pouca margem de manobra ao agente público, ainda que esteja imbuído da mais absoluta boa fé e esteja comprometido com soluções rápidas e eficientes em prol da Administração</w:t>
      </w:r>
      <w:r w:rsidRPr="006333FD">
        <w:rPr>
          <w:rStyle w:val="Refdenotaderodap"/>
          <w:rFonts w:ascii="Arial" w:hAnsi="Arial" w:cs="Arial"/>
          <w:sz w:val="24"/>
          <w:szCs w:val="24"/>
        </w:rPr>
        <w:footnoteReference w:id="14"/>
      </w:r>
      <w:r w:rsidRPr="006333FD">
        <w:rPr>
          <w:rFonts w:ascii="Arial" w:hAnsi="Arial" w:cs="Arial"/>
          <w:sz w:val="24"/>
          <w:szCs w:val="24"/>
        </w:rPr>
        <w:t xml:space="preserve">. </w:t>
      </w:r>
    </w:p>
    <w:p w14:paraId="2F280699"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Quanto à questão da homologação, a lei estabelece que o sujeito passivo deverá requerer a homologação judicial para os fins do disposto no artigo 515, incisos II e III do CPC. A interpretação que parece mais razoável é que o requerimento deva ser realizado caso as partes queiram conferir a natureza de título executivo judicial ao compromisso firmado. </w:t>
      </w:r>
    </w:p>
    <w:p w14:paraId="2D91E17E"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Entretanto, cabe pontuar que tanto o Código de Processo Civil quanto à Lei de Mediação são firmes ao determinar a natureza de títulos executivos aos acordos firmados em sede extrajudicial, o que lhes confere a mesma segurança jurídica dos ajustes que passam por homologação. A diferença está, tão somente, no rito processual a ser seguido caso necessitem solicitar, em juízo, a execução do ajuste. </w:t>
      </w:r>
    </w:p>
    <w:p w14:paraId="5084644E"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Além disso, dois outros pontos são importantes de ser destacados: os advogados públicos atuam justamente para garantir o interesse público e, nesse sentido, não faz </w:t>
      </w:r>
      <w:r w:rsidRPr="006333FD">
        <w:rPr>
          <w:rFonts w:ascii="Arial" w:hAnsi="Arial" w:cs="Arial"/>
          <w:sz w:val="24"/>
          <w:szCs w:val="24"/>
        </w:rPr>
        <w:lastRenderedPageBreak/>
        <w:t xml:space="preserve">sentido alegar que para evitar que o mesmo seja preterido haveria necessidade de recorrer à intervenção do juiz. A segunda observação é quanto ao escopo da legislação, que pretende incentivar e dar um respaldo jurídico contundente à </w:t>
      </w:r>
      <w:proofErr w:type="spellStart"/>
      <w:r w:rsidRPr="006333FD">
        <w:rPr>
          <w:rFonts w:ascii="Arial" w:hAnsi="Arial" w:cs="Arial"/>
          <w:sz w:val="24"/>
          <w:szCs w:val="24"/>
        </w:rPr>
        <w:t>desjudicialização</w:t>
      </w:r>
      <w:proofErr w:type="spellEnd"/>
      <w:r w:rsidRPr="006333FD">
        <w:rPr>
          <w:rFonts w:ascii="Arial" w:hAnsi="Arial" w:cs="Arial"/>
          <w:sz w:val="24"/>
          <w:szCs w:val="24"/>
        </w:rPr>
        <w:t xml:space="preserve"> da transação fiscal. </w:t>
      </w:r>
    </w:p>
    <w:p w14:paraId="228A5828" w14:textId="77777777" w:rsidR="006333FD" w:rsidRDefault="006333FD" w:rsidP="003B58EB">
      <w:pPr>
        <w:spacing w:after="0" w:line="360" w:lineRule="auto"/>
        <w:jc w:val="both"/>
        <w:rPr>
          <w:rFonts w:ascii="Arial" w:hAnsi="Arial" w:cs="Arial"/>
          <w:b/>
          <w:sz w:val="24"/>
          <w:szCs w:val="24"/>
        </w:rPr>
      </w:pPr>
    </w:p>
    <w:p w14:paraId="76E86B2E" w14:textId="0FE5B8FE" w:rsidR="003B58EB" w:rsidRPr="00612CC0" w:rsidRDefault="003B58EB" w:rsidP="003B58EB">
      <w:pPr>
        <w:spacing w:after="0" w:line="360" w:lineRule="auto"/>
        <w:jc w:val="both"/>
        <w:rPr>
          <w:rFonts w:ascii="Arial" w:hAnsi="Arial" w:cs="Arial"/>
          <w:b/>
          <w:sz w:val="24"/>
          <w:szCs w:val="24"/>
        </w:rPr>
      </w:pPr>
      <w:r w:rsidRPr="00612CC0">
        <w:rPr>
          <w:rFonts w:ascii="Arial" w:hAnsi="Arial" w:cs="Arial"/>
          <w:b/>
          <w:sz w:val="24"/>
          <w:szCs w:val="24"/>
        </w:rPr>
        <w:t xml:space="preserve">4. </w:t>
      </w:r>
      <w:r w:rsidR="006333FD" w:rsidRPr="006333FD">
        <w:rPr>
          <w:rFonts w:ascii="Arial" w:hAnsi="Arial" w:cs="Arial"/>
          <w:b/>
          <w:i/>
          <w:iCs/>
          <w:sz w:val="24"/>
          <w:szCs w:val="24"/>
        </w:rPr>
        <w:t xml:space="preserve">Online Dispute </w:t>
      </w:r>
      <w:proofErr w:type="spellStart"/>
      <w:r w:rsidR="006333FD" w:rsidRPr="006333FD">
        <w:rPr>
          <w:rFonts w:ascii="Arial" w:hAnsi="Arial" w:cs="Arial"/>
          <w:b/>
          <w:i/>
          <w:iCs/>
          <w:sz w:val="24"/>
          <w:szCs w:val="24"/>
        </w:rPr>
        <w:t>Resolution</w:t>
      </w:r>
      <w:proofErr w:type="spellEnd"/>
    </w:p>
    <w:p w14:paraId="4D64B826" w14:textId="7AF693BB" w:rsidR="00160F22" w:rsidRPr="006333FD" w:rsidRDefault="00160F22" w:rsidP="003B58EB">
      <w:pPr>
        <w:spacing w:after="0" w:line="360" w:lineRule="auto"/>
        <w:jc w:val="both"/>
        <w:rPr>
          <w:rFonts w:ascii="Arial" w:hAnsi="Arial" w:cs="Arial"/>
          <w:b/>
          <w:sz w:val="24"/>
          <w:szCs w:val="24"/>
        </w:rPr>
      </w:pPr>
    </w:p>
    <w:p w14:paraId="1925CF82" w14:textId="009F0E29"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Este estudo parte de um conceito mais amplo de </w:t>
      </w:r>
      <w:r w:rsidRPr="006333FD">
        <w:rPr>
          <w:rFonts w:ascii="Arial" w:hAnsi="Arial" w:cs="Arial"/>
          <w:i/>
          <w:iCs/>
          <w:sz w:val="24"/>
          <w:szCs w:val="24"/>
        </w:rPr>
        <w:t xml:space="preserve">online dispute </w:t>
      </w:r>
      <w:proofErr w:type="spellStart"/>
      <w:r w:rsidRPr="006333FD">
        <w:rPr>
          <w:rFonts w:ascii="Arial" w:hAnsi="Arial" w:cs="Arial"/>
          <w:i/>
          <w:iCs/>
          <w:sz w:val="24"/>
          <w:szCs w:val="24"/>
        </w:rPr>
        <w:t>resolution</w:t>
      </w:r>
      <w:proofErr w:type="spellEnd"/>
      <w:r w:rsidRPr="006333FD">
        <w:rPr>
          <w:rFonts w:ascii="Arial" w:hAnsi="Arial" w:cs="Arial"/>
          <w:sz w:val="24"/>
          <w:szCs w:val="24"/>
        </w:rPr>
        <w:t xml:space="preserve"> que engloba a disponibilização de meios adequados de solução de conflitos via internet e permite a inserção de um terceiro para facilitar o diálogo entre os indivíduos e/ou grupos envolvidos. Esta corrente teórica referendada por Colin </w:t>
      </w:r>
      <w:proofErr w:type="spellStart"/>
      <w:r w:rsidRPr="006333FD">
        <w:rPr>
          <w:rFonts w:ascii="Arial" w:hAnsi="Arial" w:cs="Arial"/>
          <w:sz w:val="24"/>
          <w:szCs w:val="24"/>
        </w:rPr>
        <w:t>Rule</w:t>
      </w:r>
      <w:proofErr w:type="spellEnd"/>
      <w:r w:rsidRPr="006333FD">
        <w:rPr>
          <w:rStyle w:val="Refdenotaderodap"/>
          <w:rFonts w:ascii="Arial" w:hAnsi="Arial" w:cs="Arial"/>
          <w:sz w:val="24"/>
          <w:szCs w:val="24"/>
        </w:rPr>
        <w:footnoteReference w:id="15"/>
      </w:r>
      <w:r w:rsidRPr="006333FD">
        <w:rPr>
          <w:rFonts w:ascii="Arial" w:hAnsi="Arial" w:cs="Arial"/>
          <w:sz w:val="24"/>
          <w:szCs w:val="24"/>
        </w:rPr>
        <w:t xml:space="preserve"> e Daniel </w:t>
      </w:r>
      <w:proofErr w:type="spellStart"/>
      <w:r w:rsidRPr="006333FD">
        <w:rPr>
          <w:rFonts w:ascii="Arial" w:hAnsi="Arial" w:cs="Arial"/>
          <w:sz w:val="24"/>
          <w:szCs w:val="24"/>
        </w:rPr>
        <w:t>Rainey</w:t>
      </w:r>
      <w:proofErr w:type="spellEnd"/>
      <w:r w:rsidRPr="006333FD">
        <w:rPr>
          <w:rStyle w:val="Refdenotaderodap"/>
          <w:rFonts w:ascii="Arial" w:hAnsi="Arial" w:cs="Arial"/>
          <w:sz w:val="24"/>
          <w:szCs w:val="24"/>
        </w:rPr>
        <w:footnoteReference w:id="16"/>
      </w:r>
      <w:r w:rsidRPr="006333FD">
        <w:rPr>
          <w:rFonts w:ascii="Arial" w:hAnsi="Arial" w:cs="Arial"/>
          <w:sz w:val="24"/>
          <w:szCs w:val="24"/>
        </w:rPr>
        <w:t xml:space="preserve"> entende que o uso da tecnologia para comunicação entre as partes neste processo de tratamento consensual de disputas é suficiente para entendê-lo enquanto ODR. </w:t>
      </w:r>
    </w:p>
    <w:p w14:paraId="5A967B8D"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Nesse sentido, a ODR é um termo amplo que engloba os métodos de </w:t>
      </w:r>
      <w:proofErr w:type="spellStart"/>
      <w:r w:rsidRPr="006333FD">
        <w:rPr>
          <w:rFonts w:ascii="Arial" w:hAnsi="Arial" w:cs="Arial"/>
          <w:i/>
          <w:iCs/>
          <w:sz w:val="24"/>
          <w:szCs w:val="24"/>
        </w:rPr>
        <w:t>alternative</w:t>
      </w:r>
      <w:proofErr w:type="spellEnd"/>
      <w:r w:rsidRPr="006333FD">
        <w:rPr>
          <w:rFonts w:ascii="Arial" w:hAnsi="Arial" w:cs="Arial"/>
          <w:i/>
          <w:iCs/>
          <w:sz w:val="24"/>
          <w:szCs w:val="24"/>
        </w:rPr>
        <w:t xml:space="preserve"> dispute </w:t>
      </w:r>
      <w:proofErr w:type="spellStart"/>
      <w:r w:rsidRPr="006333FD">
        <w:rPr>
          <w:rFonts w:ascii="Arial" w:hAnsi="Arial" w:cs="Arial"/>
          <w:i/>
          <w:iCs/>
          <w:sz w:val="24"/>
          <w:szCs w:val="24"/>
        </w:rPr>
        <w:t>resolution</w:t>
      </w:r>
      <w:proofErr w:type="spellEnd"/>
      <w:r w:rsidRPr="006333FD">
        <w:rPr>
          <w:rFonts w:ascii="Arial" w:hAnsi="Arial" w:cs="Arial"/>
          <w:sz w:val="24"/>
          <w:szCs w:val="24"/>
        </w:rPr>
        <w:t xml:space="preserve"> e que incorpora o uso da Internet, sites, comunicações por </w:t>
      </w:r>
      <w:proofErr w:type="spellStart"/>
      <w:r w:rsidRPr="006333FD">
        <w:rPr>
          <w:rFonts w:ascii="Arial" w:hAnsi="Arial" w:cs="Arial"/>
          <w:sz w:val="24"/>
          <w:szCs w:val="24"/>
        </w:rPr>
        <w:t>email</w:t>
      </w:r>
      <w:proofErr w:type="spellEnd"/>
      <w:r w:rsidRPr="006333FD">
        <w:rPr>
          <w:rFonts w:ascii="Arial" w:hAnsi="Arial" w:cs="Arial"/>
          <w:sz w:val="24"/>
          <w:szCs w:val="24"/>
        </w:rPr>
        <w:t>, mídia de streaming e outras tecnologias da informação como parte do processo de resolução de disputas</w:t>
      </w:r>
      <w:r w:rsidRPr="006333FD">
        <w:rPr>
          <w:rStyle w:val="Refdenotaderodap"/>
          <w:rFonts w:ascii="Arial" w:hAnsi="Arial" w:cs="Arial"/>
          <w:sz w:val="24"/>
          <w:szCs w:val="24"/>
        </w:rPr>
        <w:footnoteReference w:id="17"/>
      </w:r>
      <w:r w:rsidRPr="006333FD">
        <w:rPr>
          <w:rFonts w:ascii="Arial" w:hAnsi="Arial" w:cs="Arial"/>
          <w:sz w:val="24"/>
          <w:szCs w:val="24"/>
        </w:rPr>
        <w:t>.</w:t>
      </w:r>
    </w:p>
    <w:p w14:paraId="5A0EBB72"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A ODR oferece recursos que podem contribuir significativamente para a resolução de disputas em sede de ações coletivas. Em geral, essas demandas envolvem um conjunto numeroso de indivíduos de localidades distintas e, com isso, a reunião dessas pessoas costuma ser um processo difícil. </w:t>
      </w:r>
    </w:p>
    <w:p w14:paraId="0239DB7C"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As demandas coletivas que, frequentemente, abrangem questões complexas podem atingir as pessoas ou grupos de maneira não uniforme; o que reforça a necessidade de escuta e participação de todos os afetados pelo dano objeto do conflito para entender os impactos em cada circunstância. </w:t>
      </w:r>
    </w:p>
    <w:p w14:paraId="00A5DA13"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lastRenderedPageBreak/>
        <w:t xml:space="preserve">A tecnologia gera três efeitos positivos quanto a este cenário: ela permite que essas discussões sejam feitas remotamente já com o auxílio de um terceiro facilitador em plataformas seguras e, assim, as negociações conseguem avançar em um tempo mais célere e incluem mais pessoas no debate; o que confere ainda maior legitimidade às soluções construídas. </w:t>
      </w:r>
    </w:p>
    <w:p w14:paraId="75ABBCF4"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Nesse sentido, a ODR alarga a escala de um processo de tomada de decisões colaborativas e, por conseguinte, consensuais através do uso de recursos simples e bastante usuais do ponto de vista tecnológico. Até mesmo a legitimidade é impactada positivamente por essas ferramentas na medida em que permitem a inclusão de lideranças locais; o que também favorece, por consequência, o cumprimento dos acordos de maneira espontânea pelos indivíduos e/ou grupos que se compromissaram. </w:t>
      </w:r>
    </w:p>
    <w:p w14:paraId="587CDA5D"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A utilização da ODR repercute sobre os custos visto que elimina a necessidade de deslocamento para reunião das partes e das autoridades públicas</w:t>
      </w:r>
      <w:r w:rsidRPr="006333FD">
        <w:rPr>
          <w:rStyle w:val="Refdenotaderodap"/>
          <w:rFonts w:ascii="Arial" w:hAnsi="Arial" w:cs="Arial"/>
          <w:sz w:val="24"/>
          <w:szCs w:val="24"/>
        </w:rPr>
        <w:footnoteReference w:id="18"/>
      </w:r>
      <w:r w:rsidRPr="006333FD">
        <w:rPr>
          <w:rFonts w:ascii="Arial" w:hAnsi="Arial" w:cs="Arial"/>
          <w:sz w:val="24"/>
          <w:szCs w:val="24"/>
        </w:rPr>
        <w:t xml:space="preserve"> (graças a recursos como videoconferência) e reduz os gastos com o processo tanto para os indivíduos quanto para o próprio Estado, à medida em que essas demandas consigam ser resolvidas extrajudicialmente.  </w:t>
      </w:r>
    </w:p>
    <w:p w14:paraId="48D20703" w14:textId="7777777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A exequibilidade dos termos do ajuste é checada previamente pelo facilitador com as partes conjuntamente com os órgãos públicos engajados na composição da questão com o objetivo de aferir a possibilidade e viabilidade do cumprimento exato daquilo que ajustaram no prazo estabelecido. </w:t>
      </w:r>
    </w:p>
    <w:p w14:paraId="3C63E724" w14:textId="3FAF0831"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A experiência estrangeira aponta bons avanços em relação à solução de demandas coletivas por ODR, notadamente no segmento de consumo. Na França, a</w:t>
      </w:r>
      <w:r>
        <w:rPr>
          <w:rFonts w:ascii="Arial" w:hAnsi="Arial" w:cs="Arial"/>
          <w:sz w:val="24"/>
          <w:szCs w:val="24"/>
        </w:rPr>
        <w:t xml:space="preserve"> </w:t>
      </w:r>
      <w:r w:rsidRPr="006333FD">
        <w:rPr>
          <w:rFonts w:ascii="Arial" w:hAnsi="Arial" w:cs="Arial"/>
          <w:sz w:val="24"/>
          <w:szCs w:val="24"/>
        </w:rPr>
        <w:t>&lt; ActionCivile.com&gt; foi a primeira plataforma de ações coletivas do país voltada especificamente para a defesa dos consumidores. O site permite que litigantes vítimas do mesmo litígio se registrem gratuitamente para participarem de mediações com um operador ou grupo de operadores econômicos: comércio eletrônico, bancos, seguros, telecomunicações, indústria, dentre outros</w:t>
      </w:r>
      <w:r w:rsidRPr="006333FD">
        <w:rPr>
          <w:rStyle w:val="Refdenotaderodap"/>
          <w:rFonts w:ascii="Arial" w:hAnsi="Arial" w:cs="Arial"/>
          <w:sz w:val="24"/>
          <w:szCs w:val="24"/>
        </w:rPr>
        <w:footnoteReference w:id="19"/>
      </w:r>
      <w:r w:rsidRPr="006333FD">
        <w:rPr>
          <w:rFonts w:ascii="Arial" w:hAnsi="Arial" w:cs="Arial"/>
          <w:sz w:val="24"/>
          <w:szCs w:val="24"/>
        </w:rPr>
        <w:t xml:space="preserve">. </w:t>
      </w:r>
    </w:p>
    <w:p w14:paraId="608E5442" w14:textId="16CBC040" w:rsid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lastRenderedPageBreak/>
        <w:t xml:space="preserve">Cabe ressalvar, porém, que não é preciso que existam plataformas específicas para cada segmento (por exemplo, ambiental, improbidade administrativa, dentre outros) de ação coletiva. A melhor proposta é aquela que oferece funcionalidades tecnológicas simples, acessíveis e que permita reunir os indivíduos atingidos. </w:t>
      </w:r>
    </w:p>
    <w:p w14:paraId="219B21CE" w14:textId="77777777" w:rsidR="006333FD" w:rsidRPr="006333FD" w:rsidRDefault="006333FD" w:rsidP="006333FD">
      <w:pPr>
        <w:spacing w:line="360" w:lineRule="auto"/>
        <w:ind w:firstLine="708"/>
        <w:jc w:val="both"/>
        <w:rPr>
          <w:rFonts w:ascii="Arial" w:hAnsi="Arial" w:cs="Arial"/>
          <w:sz w:val="24"/>
          <w:szCs w:val="24"/>
        </w:rPr>
      </w:pPr>
    </w:p>
    <w:p w14:paraId="406D579B" w14:textId="0AE68EB8" w:rsidR="006333FD" w:rsidRDefault="00160F22" w:rsidP="006333FD">
      <w:pPr>
        <w:spacing w:after="0" w:line="360" w:lineRule="auto"/>
        <w:jc w:val="both"/>
        <w:rPr>
          <w:rFonts w:ascii="Arial" w:hAnsi="Arial" w:cs="Arial"/>
          <w:b/>
          <w:sz w:val="24"/>
          <w:szCs w:val="24"/>
        </w:rPr>
      </w:pPr>
      <w:r w:rsidRPr="00612CC0">
        <w:rPr>
          <w:rFonts w:ascii="Arial" w:hAnsi="Arial" w:cs="Arial"/>
          <w:b/>
          <w:sz w:val="24"/>
          <w:szCs w:val="24"/>
        </w:rPr>
        <w:t>Conclusões</w:t>
      </w:r>
      <w:r w:rsidR="00B35DE2" w:rsidRPr="00612CC0">
        <w:rPr>
          <w:rFonts w:ascii="Arial" w:hAnsi="Arial" w:cs="Arial"/>
          <w:b/>
          <w:sz w:val="24"/>
          <w:szCs w:val="24"/>
        </w:rPr>
        <w:t xml:space="preserve"> </w:t>
      </w:r>
    </w:p>
    <w:p w14:paraId="49FDF126" w14:textId="77777777" w:rsidR="006333FD" w:rsidRPr="006333FD" w:rsidRDefault="006333FD" w:rsidP="006333FD">
      <w:pPr>
        <w:spacing w:after="0" w:line="360" w:lineRule="auto"/>
        <w:jc w:val="both"/>
        <w:rPr>
          <w:rFonts w:ascii="Arial" w:hAnsi="Arial" w:cs="Arial"/>
          <w:b/>
          <w:sz w:val="24"/>
          <w:szCs w:val="24"/>
        </w:rPr>
      </w:pPr>
    </w:p>
    <w:p w14:paraId="4C4763FB" w14:textId="5DDE9E57" w:rsidR="006333FD" w:rsidRPr="006333FD" w:rsidRDefault="006333FD" w:rsidP="006333FD">
      <w:pPr>
        <w:spacing w:line="360" w:lineRule="auto"/>
        <w:ind w:firstLine="708"/>
        <w:jc w:val="both"/>
        <w:rPr>
          <w:rFonts w:ascii="Arial" w:hAnsi="Arial" w:cs="Arial"/>
          <w:sz w:val="24"/>
          <w:szCs w:val="24"/>
        </w:rPr>
      </w:pPr>
      <w:r w:rsidRPr="006333FD">
        <w:rPr>
          <w:rFonts w:ascii="Arial" w:hAnsi="Arial" w:cs="Arial"/>
          <w:sz w:val="24"/>
          <w:szCs w:val="24"/>
        </w:rPr>
        <w:t xml:space="preserve">Os conflitos coletivos enfrentam uma série de dificuldades quando são submetidos ao Judiciário brasileiro, desde problemas estruturais até questões decorrentes da complexidade das matérias que envolvem a demanda. O próprio acompanhamento do cumprimento das decisões judiciais neste campo enfrenta inúmeros obstáculos. </w:t>
      </w:r>
    </w:p>
    <w:p w14:paraId="69D3810D" w14:textId="77777777" w:rsidR="006333FD" w:rsidRPr="006333FD" w:rsidRDefault="006333FD" w:rsidP="006333FD">
      <w:pPr>
        <w:spacing w:line="360" w:lineRule="auto"/>
        <w:jc w:val="both"/>
        <w:rPr>
          <w:rFonts w:ascii="Arial" w:hAnsi="Arial" w:cs="Arial"/>
          <w:sz w:val="24"/>
          <w:szCs w:val="24"/>
        </w:rPr>
      </w:pPr>
      <w:r w:rsidRPr="006333FD">
        <w:rPr>
          <w:rFonts w:ascii="Arial" w:hAnsi="Arial" w:cs="Arial"/>
          <w:sz w:val="24"/>
          <w:szCs w:val="24"/>
        </w:rPr>
        <w:tab/>
        <w:t>Nos últimos anos, em especial, a partir da promulgação do Código de Processo Civil e da Lei de Mediação, uma série de novidades legislativas fundamenta e incentiva o uso da consensualidade para solução dessas demandas, nomeadamente, a lei n</w:t>
      </w:r>
      <w:r w:rsidRPr="006333FD">
        <w:rPr>
          <w:rFonts w:ascii="Arial" w:hAnsi="Arial" w:cs="Arial"/>
          <w:sz w:val="24"/>
          <w:szCs w:val="24"/>
          <w:vertAlign w:val="superscript"/>
        </w:rPr>
        <w:t>o</w:t>
      </w:r>
      <w:r w:rsidRPr="006333FD">
        <w:rPr>
          <w:rFonts w:ascii="Arial" w:hAnsi="Arial" w:cs="Arial"/>
          <w:sz w:val="24"/>
          <w:szCs w:val="24"/>
        </w:rPr>
        <w:t>. 13.964 de 2019 que autorizou acordos em improbidade administrativa e a Lei n</w:t>
      </w:r>
      <w:r w:rsidRPr="006333FD">
        <w:rPr>
          <w:rFonts w:ascii="Arial" w:hAnsi="Arial" w:cs="Arial"/>
          <w:sz w:val="24"/>
          <w:szCs w:val="24"/>
          <w:vertAlign w:val="superscript"/>
        </w:rPr>
        <w:t>o</w:t>
      </w:r>
      <w:r w:rsidRPr="006333FD">
        <w:rPr>
          <w:rFonts w:ascii="Arial" w:hAnsi="Arial" w:cs="Arial"/>
          <w:sz w:val="24"/>
          <w:szCs w:val="24"/>
        </w:rPr>
        <w:t xml:space="preserve">. 13.988 de 2020 que impulsionou a transação fiscal (área em que a Administração sempre se mostrou resistente a qualquer tratativa extrajudicial). </w:t>
      </w:r>
    </w:p>
    <w:p w14:paraId="720ACD00" w14:textId="77777777" w:rsidR="006333FD" w:rsidRPr="006333FD" w:rsidRDefault="006333FD" w:rsidP="006333FD">
      <w:pPr>
        <w:spacing w:line="360" w:lineRule="auto"/>
        <w:jc w:val="both"/>
        <w:rPr>
          <w:rFonts w:ascii="Arial" w:hAnsi="Arial" w:cs="Arial"/>
          <w:sz w:val="24"/>
          <w:szCs w:val="24"/>
        </w:rPr>
      </w:pPr>
      <w:r w:rsidRPr="006333FD">
        <w:rPr>
          <w:rFonts w:ascii="Arial" w:hAnsi="Arial" w:cs="Arial"/>
          <w:sz w:val="24"/>
          <w:szCs w:val="24"/>
        </w:rPr>
        <w:tab/>
        <w:t xml:space="preserve">Uma questão decorrente da análise desse respaldo legal da consensualidade é a discussão quanto à necessidade de homologação dos acordos firmados em disputas coletivas. Mas a própria lógica de elaboração desses diplomas normativos responde a favor da </w:t>
      </w:r>
      <w:proofErr w:type="spellStart"/>
      <w:r w:rsidRPr="006333FD">
        <w:rPr>
          <w:rFonts w:ascii="Arial" w:hAnsi="Arial" w:cs="Arial"/>
          <w:sz w:val="24"/>
          <w:szCs w:val="24"/>
        </w:rPr>
        <w:t>desjudicialização</w:t>
      </w:r>
      <w:proofErr w:type="spellEnd"/>
      <w:r w:rsidRPr="006333FD">
        <w:rPr>
          <w:rFonts w:ascii="Arial" w:hAnsi="Arial" w:cs="Arial"/>
          <w:sz w:val="24"/>
          <w:szCs w:val="24"/>
        </w:rPr>
        <w:t xml:space="preserve"> o que, consequentemente, permite entender a homologação enquanto um ato excepcional. </w:t>
      </w:r>
    </w:p>
    <w:p w14:paraId="23676DD1" w14:textId="77777777" w:rsidR="006333FD" w:rsidRPr="006333FD" w:rsidRDefault="006333FD" w:rsidP="006333FD">
      <w:pPr>
        <w:spacing w:line="360" w:lineRule="auto"/>
        <w:jc w:val="both"/>
        <w:rPr>
          <w:rFonts w:ascii="Arial" w:hAnsi="Arial" w:cs="Arial"/>
          <w:sz w:val="24"/>
          <w:szCs w:val="24"/>
        </w:rPr>
      </w:pPr>
      <w:r w:rsidRPr="006333FD">
        <w:rPr>
          <w:rFonts w:ascii="Arial" w:hAnsi="Arial" w:cs="Arial"/>
          <w:sz w:val="24"/>
          <w:szCs w:val="24"/>
        </w:rPr>
        <w:tab/>
        <w:t xml:space="preserve">A </w:t>
      </w:r>
      <w:r w:rsidRPr="006333FD">
        <w:rPr>
          <w:rFonts w:ascii="Arial" w:hAnsi="Arial" w:cs="Arial"/>
          <w:i/>
          <w:iCs/>
          <w:sz w:val="24"/>
          <w:szCs w:val="24"/>
        </w:rPr>
        <w:t xml:space="preserve">online dispute </w:t>
      </w:r>
      <w:proofErr w:type="spellStart"/>
      <w:r w:rsidRPr="006333FD">
        <w:rPr>
          <w:rFonts w:ascii="Arial" w:hAnsi="Arial" w:cs="Arial"/>
          <w:i/>
          <w:iCs/>
          <w:sz w:val="24"/>
          <w:szCs w:val="24"/>
        </w:rPr>
        <w:t>resolution</w:t>
      </w:r>
      <w:proofErr w:type="spellEnd"/>
      <w:r w:rsidRPr="006333FD">
        <w:rPr>
          <w:rFonts w:ascii="Arial" w:hAnsi="Arial" w:cs="Arial"/>
          <w:sz w:val="24"/>
          <w:szCs w:val="24"/>
        </w:rPr>
        <w:t xml:space="preserve"> contribui com a facilidade de reunião e participação das pessoas envolvidas no conflito, bem como com a redução dos custos inerentes ao processo. O uso de recursos tecnológicos favorece a composição da disputa e, assim, beneficia que as demandas coletivas sejam resolvidas com maior mobilização social, de uma forma mais célere, eficiente e sem necessidade de acionar o Judiciário.  </w:t>
      </w:r>
    </w:p>
    <w:p w14:paraId="3D1BD311" w14:textId="77777777" w:rsidR="00160F22" w:rsidRPr="006333FD" w:rsidRDefault="00160F22" w:rsidP="003B58EB">
      <w:pPr>
        <w:spacing w:after="0" w:line="360" w:lineRule="auto"/>
        <w:jc w:val="both"/>
        <w:rPr>
          <w:rFonts w:ascii="Arial" w:hAnsi="Arial" w:cs="Arial"/>
          <w:b/>
          <w:color w:val="FF0000"/>
          <w:sz w:val="24"/>
          <w:szCs w:val="24"/>
        </w:rPr>
      </w:pPr>
    </w:p>
    <w:p w14:paraId="6F7CF7A8" w14:textId="77777777" w:rsidR="00D250B2" w:rsidRPr="006333FD" w:rsidRDefault="00160F22" w:rsidP="003B58EB">
      <w:pPr>
        <w:spacing w:after="0" w:line="360" w:lineRule="auto"/>
        <w:jc w:val="both"/>
        <w:rPr>
          <w:rFonts w:ascii="Arial" w:hAnsi="Arial" w:cs="Arial"/>
          <w:b/>
          <w:sz w:val="24"/>
          <w:szCs w:val="24"/>
        </w:rPr>
      </w:pPr>
      <w:r w:rsidRPr="006333FD">
        <w:rPr>
          <w:rFonts w:ascii="Arial" w:hAnsi="Arial" w:cs="Arial"/>
          <w:b/>
          <w:sz w:val="24"/>
          <w:szCs w:val="24"/>
        </w:rPr>
        <w:t xml:space="preserve">Referências </w:t>
      </w:r>
    </w:p>
    <w:p w14:paraId="20B7B193" w14:textId="77777777" w:rsidR="006333FD" w:rsidRPr="006333FD" w:rsidRDefault="006333FD" w:rsidP="003B58EB">
      <w:pPr>
        <w:spacing w:after="0" w:line="360" w:lineRule="auto"/>
        <w:jc w:val="both"/>
        <w:rPr>
          <w:rFonts w:ascii="Arial" w:hAnsi="Arial" w:cs="Arial"/>
          <w:b/>
          <w:color w:val="FF0000"/>
          <w:sz w:val="24"/>
          <w:szCs w:val="24"/>
          <w:highlight w:val="yellow"/>
          <w:u w:val="single"/>
        </w:rPr>
      </w:pPr>
    </w:p>
    <w:p w14:paraId="42B65861" w14:textId="77777777" w:rsidR="006333FD" w:rsidRPr="006333FD" w:rsidRDefault="006333FD" w:rsidP="006333FD">
      <w:pPr>
        <w:pStyle w:val="Textodenotaderodap"/>
        <w:jc w:val="both"/>
        <w:rPr>
          <w:rFonts w:ascii="Arial" w:hAnsi="Arial" w:cs="Arial"/>
          <w:sz w:val="24"/>
          <w:szCs w:val="24"/>
        </w:rPr>
      </w:pPr>
      <w:r w:rsidRPr="006333FD">
        <w:rPr>
          <w:rFonts w:ascii="Arial" w:hAnsi="Arial" w:cs="Arial"/>
          <w:sz w:val="24"/>
          <w:szCs w:val="24"/>
          <w:lang w:val="en-US"/>
        </w:rPr>
        <w:lastRenderedPageBreak/>
        <w:t xml:space="preserve">AMERICAN BAR ASSOCIATION. Addressing disputes in electronic commerce: final report and recommendations of the American Bar Association’s Task Force on Electronic Commerce and Alternative Dispute Resolution, 2002. </w:t>
      </w:r>
      <w:r w:rsidRPr="006333FD">
        <w:rPr>
          <w:rFonts w:ascii="Arial" w:hAnsi="Arial" w:cs="Arial"/>
          <w:sz w:val="24"/>
          <w:szCs w:val="24"/>
        </w:rPr>
        <w:t xml:space="preserve">Disponível em &lt; https://www.americanbar.org/content/dam/aba/migrated/dispute/documents/FinalReport102802.pdf&gt; acesso em 17 de maio de 2020. </w:t>
      </w:r>
    </w:p>
    <w:p w14:paraId="68696797" w14:textId="77777777" w:rsidR="006333FD" w:rsidRPr="006333FD" w:rsidRDefault="006333FD" w:rsidP="006333FD">
      <w:pPr>
        <w:pStyle w:val="Textodenotaderodap"/>
        <w:jc w:val="both"/>
        <w:rPr>
          <w:rFonts w:ascii="Arial" w:hAnsi="Arial" w:cs="Arial"/>
          <w:sz w:val="24"/>
          <w:szCs w:val="24"/>
        </w:rPr>
      </w:pPr>
    </w:p>
    <w:p w14:paraId="2EB7EA57" w14:textId="77777777" w:rsidR="006333FD" w:rsidRPr="006333FD" w:rsidRDefault="006333FD" w:rsidP="006333FD">
      <w:pPr>
        <w:pStyle w:val="Textodenotaderodap"/>
        <w:jc w:val="both"/>
        <w:rPr>
          <w:rFonts w:ascii="Arial" w:hAnsi="Arial" w:cs="Arial"/>
          <w:sz w:val="24"/>
          <w:szCs w:val="24"/>
        </w:rPr>
      </w:pPr>
      <w:r w:rsidRPr="006333FD">
        <w:rPr>
          <w:rFonts w:ascii="Arial" w:hAnsi="Arial" w:cs="Arial"/>
          <w:sz w:val="24"/>
          <w:szCs w:val="24"/>
          <w:lang w:val="en-US"/>
        </w:rPr>
        <w:t xml:space="preserve">COLIN RULE. Is ODR ADR? A Response to Carrie </w:t>
      </w:r>
      <w:proofErr w:type="spellStart"/>
      <w:r w:rsidRPr="006333FD">
        <w:rPr>
          <w:rFonts w:ascii="Arial" w:hAnsi="Arial" w:cs="Arial"/>
          <w:sz w:val="24"/>
          <w:szCs w:val="24"/>
          <w:lang w:val="en-US"/>
        </w:rPr>
        <w:t>Menkel</w:t>
      </w:r>
      <w:proofErr w:type="spellEnd"/>
      <w:r w:rsidRPr="006333FD">
        <w:rPr>
          <w:rFonts w:ascii="Arial" w:hAnsi="Arial" w:cs="Arial"/>
          <w:sz w:val="24"/>
          <w:szCs w:val="24"/>
          <w:lang w:val="en-US"/>
        </w:rPr>
        <w:t xml:space="preserve">-Meadow," in The International Journal of Online Dispute Resolution, Eleven International Publishing, 2017. </w:t>
      </w:r>
      <w:r w:rsidRPr="006333FD">
        <w:rPr>
          <w:rFonts w:ascii="Arial" w:hAnsi="Arial" w:cs="Arial"/>
          <w:sz w:val="24"/>
          <w:szCs w:val="24"/>
        </w:rPr>
        <w:t xml:space="preserve">Disponível em &lt; http://www.colinrule.com/writing/ijodr.pdf&gt; acesso em 16 de maio de 2020. </w:t>
      </w:r>
    </w:p>
    <w:p w14:paraId="60A5E751" w14:textId="77777777" w:rsidR="006333FD" w:rsidRPr="006333FD" w:rsidRDefault="006333FD" w:rsidP="006333FD">
      <w:pPr>
        <w:pStyle w:val="Textodenotaderodap"/>
        <w:jc w:val="both"/>
        <w:rPr>
          <w:rFonts w:ascii="Arial" w:hAnsi="Arial" w:cs="Arial"/>
          <w:sz w:val="24"/>
          <w:szCs w:val="24"/>
        </w:rPr>
      </w:pPr>
    </w:p>
    <w:p w14:paraId="57A7F4DA" w14:textId="77777777" w:rsidR="006333FD" w:rsidRPr="006333FD" w:rsidRDefault="006333FD" w:rsidP="006333FD">
      <w:pPr>
        <w:pStyle w:val="Textodenotaderodap"/>
        <w:jc w:val="both"/>
        <w:rPr>
          <w:rFonts w:ascii="Arial" w:hAnsi="Arial" w:cs="Arial"/>
          <w:sz w:val="24"/>
          <w:szCs w:val="24"/>
        </w:rPr>
      </w:pPr>
      <w:r w:rsidRPr="006333FD">
        <w:rPr>
          <w:rFonts w:ascii="Arial" w:hAnsi="Arial" w:cs="Arial"/>
          <w:sz w:val="24"/>
          <w:szCs w:val="24"/>
        </w:rPr>
        <w:t>CONSELHO NACIONAL DE JUSTIÇA. Consulta pública de classe. Disponível em &lt;</w:t>
      </w:r>
      <w:proofErr w:type="spellStart"/>
      <w:r w:rsidRPr="006333FD">
        <w:rPr>
          <w:rFonts w:ascii="Arial" w:hAnsi="Arial" w:cs="Arial"/>
          <w:sz w:val="24"/>
          <w:szCs w:val="24"/>
        </w:rPr>
        <w:t>https</w:t>
      </w:r>
      <w:proofErr w:type="spellEnd"/>
      <w:r w:rsidRPr="006333FD">
        <w:rPr>
          <w:rFonts w:ascii="Arial" w:hAnsi="Arial" w:cs="Arial"/>
          <w:sz w:val="24"/>
          <w:szCs w:val="24"/>
        </w:rPr>
        <w:t>://www.cnj.jus.br/</w:t>
      </w:r>
      <w:proofErr w:type="spellStart"/>
      <w:r w:rsidRPr="006333FD">
        <w:rPr>
          <w:rFonts w:ascii="Arial" w:hAnsi="Arial" w:cs="Arial"/>
          <w:sz w:val="24"/>
          <w:szCs w:val="24"/>
        </w:rPr>
        <w:t>sgt</w:t>
      </w:r>
      <w:proofErr w:type="spellEnd"/>
      <w:r w:rsidRPr="006333FD">
        <w:rPr>
          <w:rFonts w:ascii="Arial" w:hAnsi="Arial" w:cs="Arial"/>
          <w:sz w:val="24"/>
          <w:szCs w:val="24"/>
        </w:rPr>
        <w:t>/</w:t>
      </w:r>
      <w:proofErr w:type="spellStart"/>
      <w:r w:rsidRPr="006333FD">
        <w:rPr>
          <w:rFonts w:ascii="Arial" w:hAnsi="Arial" w:cs="Arial"/>
          <w:sz w:val="24"/>
          <w:szCs w:val="24"/>
        </w:rPr>
        <w:t>consulta_publica_classes.php</w:t>
      </w:r>
      <w:proofErr w:type="spellEnd"/>
      <w:r w:rsidRPr="006333FD">
        <w:rPr>
          <w:rFonts w:ascii="Arial" w:hAnsi="Arial" w:cs="Arial"/>
          <w:sz w:val="24"/>
          <w:szCs w:val="24"/>
        </w:rPr>
        <w:t xml:space="preserve">&gt; acesso em 13 de maio de 2020.  </w:t>
      </w:r>
    </w:p>
    <w:p w14:paraId="616934A6" w14:textId="77777777" w:rsidR="006333FD" w:rsidRPr="006333FD" w:rsidRDefault="006333FD" w:rsidP="006333FD">
      <w:pPr>
        <w:pStyle w:val="Textodenotaderodap"/>
        <w:jc w:val="both"/>
        <w:rPr>
          <w:rFonts w:ascii="Arial" w:hAnsi="Arial" w:cs="Arial"/>
          <w:sz w:val="24"/>
          <w:szCs w:val="24"/>
        </w:rPr>
      </w:pPr>
    </w:p>
    <w:p w14:paraId="1C159BE6" w14:textId="77777777" w:rsidR="006333FD" w:rsidRPr="006333FD" w:rsidRDefault="006333FD" w:rsidP="006333FD">
      <w:pPr>
        <w:pStyle w:val="Textodenotaderodap"/>
        <w:jc w:val="both"/>
        <w:rPr>
          <w:rFonts w:ascii="Arial" w:hAnsi="Arial" w:cs="Arial"/>
          <w:sz w:val="24"/>
          <w:szCs w:val="24"/>
        </w:rPr>
      </w:pPr>
      <w:r w:rsidRPr="006333FD">
        <w:rPr>
          <w:rFonts w:ascii="Arial" w:hAnsi="Arial" w:cs="Arial"/>
          <w:sz w:val="24"/>
          <w:szCs w:val="24"/>
        </w:rPr>
        <w:t>CONSELHO NACIONAL DE JUSTIÇA. Cadastro único dará agilidade às ações coletivas, 9 de junho de 2011. Disponível em &lt; https://www.cnj.jus.br/cadastro-unico-dara-agilidade-as-acoes-coletivas/&gt; acesso em 11 de maio de 2020.</w:t>
      </w:r>
    </w:p>
    <w:p w14:paraId="040A86FF" w14:textId="77777777" w:rsidR="006333FD" w:rsidRPr="006333FD" w:rsidRDefault="006333FD" w:rsidP="006333FD">
      <w:pPr>
        <w:pStyle w:val="Textodenotaderodap"/>
        <w:jc w:val="both"/>
        <w:rPr>
          <w:rFonts w:ascii="Arial" w:hAnsi="Arial" w:cs="Arial"/>
          <w:sz w:val="24"/>
          <w:szCs w:val="24"/>
        </w:rPr>
      </w:pPr>
    </w:p>
    <w:p w14:paraId="22E9A035" w14:textId="77777777" w:rsidR="006333FD" w:rsidRPr="006333FD" w:rsidRDefault="006333FD" w:rsidP="006333FD">
      <w:pPr>
        <w:pStyle w:val="Textodenotaderodap"/>
        <w:jc w:val="both"/>
        <w:rPr>
          <w:rFonts w:ascii="Arial" w:hAnsi="Arial" w:cs="Arial"/>
          <w:sz w:val="24"/>
          <w:szCs w:val="24"/>
        </w:rPr>
      </w:pPr>
      <w:r w:rsidRPr="006333FD">
        <w:rPr>
          <w:rFonts w:ascii="Arial" w:hAnsi="Arial" w:cs="Arial"/>
          <w:sz w:val="24"/>
          <w:szCs w:val="24"/>
        </w:rPr>
        <w:t xml:space="preserve">CONSELHO NACIONAL DE JUSTIÇA. Justiça Pesquisa, 2ª edição. Ações coletivas no Brasil: temas, atores e desafios da tutela coletiva, 2018, p. 213. Disponível em &lt;https://www.cnj.jus.br/wp-content/uploads/2011/02/799b01d7a3f27f85b334448b8554c914.pdf&gt; acesso em 14 de maio de 2020. </w:t>
      </w:r>
    </w:p>
    <w:p w14:paraId="77B3D43D" w14:textId="77777777" w:rsidR="006333FD" w:rsidRPr="006333FD" w:rsidRDefault="006333FD" w:rsidP="006333FD">
      <w:pPr>
        <w:pStyle w:val="Textodenotaderodap"/>
        <w:jc w:val="both"/>
        <w:rPr>
          <w:rFonts w:ascii="Arial" w:hAnsi="Arial" w:cs="Arial"/>
          <w:sz w:val="24"/>
          <w:szCs w:val="24"/>
        </w:rPr>
      </w:pPr>
    </w:p>
    <w:p w14:paraId="48E210D6" w14:textId="77777777" w:rsidR="006333FD" w:rsidRPr="006333FD" w:rsidRDefault="006333FD" w:rsidP="006333FD">
      <w:pPr>
        <w:pStyle w:val="Textodenotaderodap"/>
        <w:jc w:val="both"/>
        <w:rPr>
          <w:rFonts w:ascii="Arial" w:hAnsi="Arial" w:cs="Arial"/>
          <w:sz w:val="24"/>
          <w:szCs w:val="24"/>
          <w:lang w:val="en-US"/>
        </w:rPr>
      </w:pPr>
      <w:r w:rsidRPr="006333FD">
        <w:rPr>
          <w:rFonts w:ascii="Arial" w:hAnsi="Arial" w:cs="Arial"/>
          <w:sz w:val="24"/>
          <w:szCs w:val="24"/>
          <w:lang w:val="en-US"/>
        </w:rPr>
        <w:t>GIDI, Antonio. Class action in Brazil – a model for civil law countries. The American Journal of Comparative Law, v. 51, n. 2, 2003.</w:t>
      </w:r>
    </w:p>
    <w:p w14:paraId="23ACB224" w14:textId="77777777" w:rsidR="006333FD" w:rsidRPr="006333FD" w:rsidRDefault="006333FD" w:rsidP="006333FD">
      <w:pPr>
        <w:pStyle w:val="Textodenotaderodap"/>
        <w:jc w:val="both"/>
        <w:rPr>
          <w:rFonts w:ascii="Arial" w:hAnsi="Arial" w:cs="Arial"/>
          <w:sz w:val="24"/>
          <w:szCs w:val="24"/>
          <w:lang w:val="en-US"/>
        </w:rPr>
      </w:pPr>
    </w:p>
    <w:p w14:paraId="333AE519" w14:textId="77777777" w:rsidR="006333FD" w:rsidRPr="006333FD" w:rsidRDefault="006333FD" w:rsidP="006333FD">
      <w:pPr>
        <w:pStyle w:val="Textodenotaderodap"/>
        <w:jc w:val="both"/>
        <w:rPr>
          <w:rFonts w:ascii="Arial" w:hAnsi="Arial" w:cs="Arial"/>
          <w:sz w:val="24"/>
          <w:szCs w:val="24"/>
        </w:rPr>
      </w:pPr>
      <w:r w:rsidRPr="006333FD">
        <w:rPr>
          <w:rFonts w:ascii="Arial" w:hAnsi="Arial" w:cs="Arial"/>
          <w:sz w:val="24"/>
          <w:szCs w:val="24"/>
          <w:lang w:val="en-US"/>
        </w:rPr>
        <w:t xml:space="preserve">GUSTIN, Stephanie; DOLAN, Norman. Mobile Online Dispute Resolution Tools’ Potential Applications for Government Offices. </w:t>
      </w:r>
      <w:proofErr w:type="spellStart"/>
      <w:r w:rsidRPr="006333FD">
        <w:rPr>
          <w:rFonts w:ascii="Arial" w:hAnsi="Arial" w:cs="Arial"/>
          <w:sz w:val="24"/>
          <w:szCs w:val="24"/>
        </w:rPr>
        <w:t>International</w:t>
      </w:r>
      <w:proofErr w:type="spellEnd"/>
      <w:r w:rsidRPr="006333FD">
        <w:rPr>
          <w:rFonts w:ascii="Arial" w:hAnsi="Arial" w:cs="Arial"/>
          <w:sz w:val="24"/>
          <w:szCs w:val="24"/>
        </w:rPr>
        <w:t xml:space="preserve"> </w:t>
      </w:r>
      <w:proofErr w:type="spellStart"/>
      <w:r w:rsidRPr="006333FD">
        <w:rPr>
          <w:rFonts w:ascii="Arial" w:hAnsi="Arial" w:cs="Arial"/>
          <w:sz w:val="24"/>
          <w:szCs w:val="24"/>
        </w:rPr>
        <w:t>Journal</w:t>
      </w:r>
      <w:proofErr w:type="spellEnd"/>
      <w:r w:rsidRPr="006333FD">
        <w:rPr>
          <w:rFonts w:ascii="Arial" w:hAnsi="Arial" w:cs="Arial"/>
          <w:sz w:val="24"/>
          <w:szCs w:val="24"/>
        </w:rPr>
        <w:t xml:space="preserve"> </w:t>
      </w:r>
      <w:proofErr w:type="spellStart"/>
      <w:r w:rsidRPr="006333FD">
        <w:rPr>
          <w:rFonts w:ascii="Arial" w:hAnsi="Arial" w:cs="Arial"/>
          <w:sz w:val="24"/>
          <w:szCs w:val="24"/>
        </w:rPr>
        <w:t>of</w:t>
      </w:r>
      <w:proofErr w:type="spellEnd"/>
      <w:r w:rsidRPr="006333FD">
        <w:rPr>
          <w:rFonts w:ascii="Arial" w:hAnsi="Arial" w:cs="Arial"/>
          <w:sz w:val="24"/>
          <w:szCs w:val="24"/>
        </w:rPr>
        <w:t xml:space="preserve"> Online Dispute </w:t>
      </w:r>
      <w:proofErr w:type="spellStart"/>
      <w:r w:rsidRPr="006333FD">
        <w:rPr>
          <w:rFonts w:ascii="Arial" w:hAnsi="Arial" w:cs="Arial"/>
          <w:sz w:val="24"/>
          <w:szCs w:val="24"/>
        </w:rPr>
        <w:t>Resolution</w:t>
      </w:r>
      <w:proofErr w:type="spellEnd"/>
      <w:r w:rsidRPr="006333FD">
        <w:rPr>
          <w:rFonts w:ascii="Arial" w:hAnsi="Arial" w:cs="Arial"/>
          <w:sz w:val="24"/>
          <w:szCs w:val="24"/>
        </w:rPr>
        <w:t xml:space="preserve">, i.1, 2019. Disponível em &lt; https://www.elevenjournals.com/tijdschrift/ijodr/2019/1/IJODR_2352-5002_2019_006_001_004&gt; acesso em 16 de maio de 2020. </w:t>
      </w:r>
    </w:p>
    <w:p w14:paraId="7573B7A3" w14:textId="77777777" w:rsidR="006333FD" w:rsidRPr="006333FD" w:rsidRDefault="006333FD" w:rsidP="006333FD">
      <w:pPr>
        <w:pStyle w:val="Textodenotaderodap"/>
        <w:jc w:val="both"/>
        <w:rPr>
          <w:rFonts w:ascii="Arial" w:hAnsi="Arial" w:cs="Arial"/>
          <w:sz w:val="24"/>
          <w:szCs w:val="24"/>
        </w:rPr>
      </w:pPr>
    </w:p>
    <w:p w14:paraId="7358D3F5" w14:textId="77777777" w:rsidR="006333FD" w:rsidRPr="006333FD" w:rsidRDefault="006333FD" w:rsidP="006333FD">
      <w:pPr>
        <w:pStyle w:val="Textodenotaderodap"/>
        <w:jc w:val="both"/>
        <w:rPr>
          <w:rFonts w:ascii="Arial" w:hAnsi="Arial" w:cs="Arial"/>
          <w:sz w:val="24"/>
          <w:szCs w:val="24"/>
          <w:lang w:val="en-US"/>
        </w:rPr>
      </w:pPr>
      <w:r w:rsidRPr="006333FD">
        <w:rPr>
          <w:rFonts w:ascii="Arial" w:hAnsi="Arial" w:cs="Arial"/>
          <w:sz w:val="24"/>
          <w:szCs w:val="24"/>
          <w:lang w:val="en-US"/>
        </w:rPr>
        <w:t xml:space="preserve">KLONOFF, Robert. Class Actions and Other Multi- Party Litigation in a Nutshell. West Academic, 2017. Kindle ́s edition. </w:t>
      </w:r>
    </w:p>
    <w:p w14:paraId="31C86600" w14:textId="77777777" w:rsidR="006333FD" w:rsidRPr="006333FD" w:rsidRDefault="006333FD" w:rsidP="006333FD">
      <w:pPr>
        <w:pStyle w:val="Textodenotaderodap"/>
        <w:jc w:val="both"/>
        <w:rPr>
          <w:rFonts w:ascii="Arial" w:hAnsi="Arial" w:cs="Arial"/>
          <w:sz w:val="24"/>
          <w:szCs w:val="24"/>
          <w:lang w:val="en-US"/>
        </w:rPr>
      </w:pPr>
    </w:p>
    <w:p w14:paraId="6FFDDB8C" w14:textId="77777777" w:rsidR="006333FD" w:rsidRPr="006333FD" w:rsidRDefault="006333FD" w:rsidP="006333FD">
      <w:pPr>
        <w:pStyle w:val="Textodenotaderodap"/>
        <w:jc w:val="both"/>
        <w:rPr>
          <w:rFonts w:ascii="Arial" w:hAnsi="Arial" w:cs="Arial"/>
          <w:sz w:val="24"/>
          <w:szCs w:val="24"/>
        </w:rPr>
      </w:pPr>
      <w:r w:rsidRPr="006333FD">
        <w:rPr>
          <w:rFonts w:ascii="Arial" w:hAnsi="Arial" w:cs="Arial"/>
          <w:sz w:val="24"/>
          <w:szCs w:val="24"/>
          <w:lang w:val="en-US"/>
        </w:rPr>
        <w:t xml:space="preserve">PINHO, Humberto Dalla Bernardina de. </w:t>
      </w:r>
      <w:r w:rsidRPr="006333FD">
        <w:rPr>
          <w:rFonts w:ascii="Arial" w:hAnsi="Arial" w:cs="Arial"/>
          <w:sz w:val="24"/>
          <w:szCs w:val="24"/>
        </w:rPr>
        <w:t xml:space="preserve">Acordos em litígios coletivos: limites e possibilidades do consenso em direitos </w:t>
      </w:r>
      <w:proofErr w:type="spellStart"/>
      <w:r w:rsidRPr="006333FD">
        <w:rPr>
          <w:rFonts w:ascii="Arial" w:hAnsi="Arial" w:cs="Arial"/>
          <w:sz w:val="24"/>
          <w:szCs w:val="24"/>
        </w:rPr>
        <w:t>transindividuais</w:t>
      </w:r>
      <w:proofErr w:type="spellEnd"/>
      <w:r w:rsidRPr="006333FD">
        <w:rPr>
          <w:rFonts w:ascii="Arial" w:hAnsi="Arial" w:cs="Arial"/>
          <w:sz w:val="24"/>
          <w:szCs w:val="24"/>
        </w:rPr>
        <w:t xml:space="preserve"> após o advento do CPC/2015 e da Lei de Mediação. Revista Eletrônica de Direito Processual, ano 12, volume 19, número 2, maio a agosto de 2018, pp. 139-140. </w:t>
      </w:r>
    </w:p>
    <w:p w14:paraId="78DC89FC" w14:textId="77777777" w:rsidR="006333FD" w:rsidRPr="006333FD" w:rsidRDefault="006333FD" w:rsidP="006333FD">
      <w:pPr>
        <w:pStyle w:val="Textodenotaderodap"/>
        <w:jc w:val="both"/>
        <w:rPr>
          <w:rFonts w:ascii="Arial" w:hAnsi="Arial" w:cs="Arial"/>
          <w:sz w:val="24"/>
          <w:szCs w:val="24"/>
        </w:rPr>
      </w:pPr>
    </w:p>
    <w:p w14:paraId="3FA679C4" w14:textId="77777777" w:rsidR="006333FD" w:rsidRPr="006333FD" w:rsidRDefault="006333FD" w:rsidP="006333FD">
      <w:pPr>
        <w:pStyle w:val="Textodenotaderodap"/>
        <w:jc w:val="both"/>
        <w:rPr>
          <w:rFonts w:ascii="Arial" w:hAnsi="Arial" w:cs="Arial"/>
          <w:sz w:val="24"/>
          <w:szCs w:val="24"/>
        </w:rPr>
      </w:pPr>
      <w:r w:rsidRPr="006333FD">
        <w:rPr>
          <w:rFonts w:ascii="Arial" w:hAnsi="Arial" w:cs="Arial"/>
          <w:sz w:val="24"/>
          <w:szCs w:val="24"/>
        </w:rPr>
        <w:t xml:space="preserve">RODRIGUES, Marco </w:t>
      </w:r>
      <w:proofErr w:type="spellStart"/>
      <w:r w:rsidRPr="006333FD">
        <w:rPr>
          <w:rFonts w:ascii="Arial" w:hAnsi="Arial" w:cs="Arial"/>
          <w:sz w:val="24"/>
          <w:szCs w:val="24"/>
        </w:rPr>
        <w:t>Antonio</w:t>
      </w:r>
      <w:proofErr w:type="spellEnd"/>
      <w:r w:rsidRPr="006333FD">
        <w:rPr>
          <w:rFonts w:ascii="Arial" w:hAnsi="Arial" w:cs="Arial"/>
          <w:sz w:val="24"/>
          <w:szCs w:val="24"/>
        </w:rPr>
        <w:t xml:space="preserve">; PEPE, Rafael Gaia. Ela, a transação fiscal, vista por nós, advogados públicos. Jota, Opinião e Análise, Pandemia, 9 de maio de 2020. Disponível em &lt; https://www.jota.info/opiniao-e-analise/colunas/tribuna-da-advocacia-publica/ela-a-transacao-fiscal-vista-por-nos-os-advogados-publicos-09052020&gt; acesso em 16 de maio de 2020. </w:t>
      </w:r>
    </w:p>
    <w:p w14:paraId="709A195C" w14:textId="77777777" w:rsidR="006333FD" w:rsidRPr="006333FD" w:rsidRDefault="006333FD" w:rsidP="006333FD">
      <w:pPr>
        <w:pStyle w:val="Textodenotaderodap"/>
        <w:jc w:val="both"/>
        <w:rPr>
          <w:rFonts w:ascii="Arial" w:hAnsi="Arial" w:cs="Arial"/>
        </w:rPr>
      </w:pPr>
    </w:p>
    <w:p w14:paraId="62CBD15C" w14:textId="77777777" w:rsidR="006333FD" w:rsidRPr="006333FD" w:rsidRDefault="006333FD" w:rsidP="006333FD">
      <w:pPr>
        <w:pStyle w:val="Textodenotaderodap"/>
        <w:jc w:val="both"/>
        <w:rPr>
          <w:rFonts w:ascii="Arial" w:hAnsi="Arial" w:cs="Arial"/>
          <w:sz w:val="24"/>
          <w:szCs w:val="24"/>
          <w:lang w:val="en-US"/>
        </w:rPr>
      </w:pPr>
      <w:r w:rsidRPr="006333FD">
        <w:rPr>
          <w:rFonts w:ascii="Arial" w:hAnsi="Arial" w:cs="Arial"/>
          <w:sz w:val="24"/>
          <w:szCs w:val="24"/>
          <w:lang w:val="en-US"/>
        </w:rPr>
        <w:t xml:space="preserve">WAHAB, Mohamed; KATSH, Ethan; RAINEY, Daniel. Online Dispute Resolution: Theory and Practice: a treatise on technology and dispute resolution. Eleven International Publishing, 2012. </w:t>
      </w:r>
    </w:p>
    <w:p w14:paraId="1D3A58DC" w14:textId="404D99E4" w:rsidR="00160F22" w:rsidRPr="00612CC0" w:rsidRDefault="00160F22" w:rsidP="003B58EB">
      <w:pPr>
        <w:spacing w:after="0" w:line="360" w:lineRule="auto"/>
        <w:jc w:val="both"/>
        <w:rPr>
          <w:rFonts w:ascii="Arial" w:hAnsi="Arial" w:cs="Arial"/>
          <w:b/>
          <w:color w:val="FF0000"/>
          <w:sz w:val="24"/>
          <w:szCs w:val="24"/>
          <w:highlight w:val="yellow"/>
          <w:u w:val="single"/>
        </w:rPr>
      </w:pPr>
    </w:p>
    <w:sectPr w:rsidR="00160F22" w:rsidRPr="00612CC0" w:rsidSect="00D250B2">
      <w:head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5D29D" w14:textId="77777777" w:rsidR="00777FB0" w:rsidRDefault="00777FB0" w:rsidP="00D250B2">
      <w:pPr>
        <w:spacing w:after="0" w:line="240" w:lineRule="auto"/>
      </w:pPr>
      <w:r>
        <w:separator/>
      </w:r>
    </w:p>
  </w:endnote>
  <w:endnote w:type="continuationSeparator" w:id="0">
    <w:p w14:paraId="2B601BBD" w14:textId="77777777" w:rsidR="00777FB0" w:rsidRDefault="00777FB0" w:rsidP="00D2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670BA" w14:textId="77777777" w:rsidR="00777FB0" w:rsidRDefault="00777FB0" w:rsidP="00D250B2">
      <w:pPr>
        <w:spacing w:after="0" w:line="240" w:lineRule="auto"/>
      </w:pPr>
      <w:r>
        <w:separator/>
      </w:r>
    </w:p>
  </w:footnote>
  <w:footnote w:type="continuationSeparator" w:id="0">
    <w:p w14:paraId="1A958741" w14:textId="77777777" w:rsidR="00777FB0" w:rsidRDefault="00777FB0" w:rsidP="00D250B2">
      <w:pPr>
        <w:spacing w:after="0" w:line="240" w:lineRule="auto"/>
      </w:pPr>
      <w:r>
        <w:continuationSeparator/>
      </w:r>
    </w:p>
  </w:footnote>
  <w:footnote w:id="1">
    <w:p w14:paraId="30BB07B7" w14:textId="7AE3FB6D" w:rsidR="006333FD" w:rsidRPr="006333FD" w:rsidRDefault="006333FD" w:rsidP="006333FD">
      <w:pPr>
        <w:pStyle w:val="Textodenotaderodap"/>
        <w:jc w:val="both"/>
        <w:rPr>
          <w:rFonts w:ascii="Arial" w:hAnsi="Arial" w:cs="Arial"/>
        </w:rPr>
      </w:pPr>
      <w:r>
        <w:rPr>
          <w:rStyle w:val="Refdenotaderodap"/>
        </w:rPr>
        <w:footnoteRef/>
      </w:r>
      <w:r>
        <w:t xml:space="preserve"> </w:t>
      </w:r>
      <w:r w:rsidRPr="006333FD">
        <w:rPr>
          <w:rFonts w:ascii="Arial" w:hAnsi="Arial" w:cs="Arial"/>
        </w:rPr>
        <w:t>CONSELHO NACIONAL DE JUSTIÇA. Consulta pública de classe. Disponível em &lt;</w:t>
      </w:r>
      <w:proofErr w:type="spellStart"/>
      <w:r w:rsidRPr="006333FD">
        <w:rPr>
          <w:rFonts w:ascii="Arial" w:hAnsi="Arial" w:cs="Arial"/>
        </w:rPr>
        <w:t>https</w:t>
      </w:r>
      <w:proofErr w:type="spellEnd"/>
      <w:r w:rsidRPr="006333FD">
        <w:rPr>
          <w:rFonts w:ascii="Arial" w:hAnsi="Arial" w:cs="Arial"/>
        </w:rPr>
        <w:t>://www.cnj.jus.br/</w:t>
      </w:r>
      <w:proofErr w:type="spellStart"/>
      <w:r w:rsidRPr="006333FD">
        <w:rPr>
          <w:rFonts w:ascii="Arial" w:hAnsi="Arial" w:cs="Arial"/>
        </w:rPr>
        <w:t>sgt</w:t>
      </w:r>
      <w:proofErr w:type="spellEnd"/>
      <w:r w:rsidRPr="006333FD">
        <w:rPr>
          <w:rFonts w:ascii="Arial" w:hAnsi="Arial" w:cs="Arial"/>
        </w:rPr>
        <w:t>/</w:t>
      </w:r>
      <w:proofErr w:type="spellStart"/>
      <w:r w:rsidRPr="006333FD">
        <w:rPr>
          <w:rFonts w:ascii="Arial" w:hAnsi="Arial" w:cs="Arial"/>
        </w:rPr>
        <w:t>consulta_publica_classes.php</w:t>
      </w:r>
      <w:proofErr w:type="spellEnd"/>
      <w:r w:rsidRPr="006333FD">
        <w:rPr>
          <w:rFonts w:ascii="Arial" w:hAnsi="Arial" w:cs="Arial"/>
        </w:rPr>
        <w:t xml:space="preserve">&gt; acesso em 13 de maio de 2020.  </w:t>
      </w:r>
    </w:p>
  </w:footnote>
  <w:footnote w:id="2">
    <w:p w14:paraId="1223BD3E" w14:textId="77777777" w:rsidR="006333FD" w:rsidRPr="006333FD" w:rsidRDefault="006333FD" w:rsidP="006333FD">
      <w:pPr>
        <w:pStyle w:val="Textodenotaderodap"/>
        <w:jc w:val="both"/>
        <w:rPr>
          <w:rFonts w:ascii="Arial" w:hAnsi="Arial" w:cs="Arial"/>
        </w:rPr>
      </w:pPr>
      <w:r w:rsidRPr="006333FD">
        <w:rPr>
          <w:rStyle w:val="Refdenotaderodap"/>
          <w:rFonts w:ascii="Arial" w:hAnsi="Arial" w:cs="Arial"/>
        </w:rPr>
        <w:footnoteRef/>
      </w:r>
      <w:r w:rsidRPr="006333FD">
        <w:rPr>
          <w:rFonts w:ascii="Arial" w:hAnsi="Arial" w:cs="Arial"/>
        </w:rPr>
        <w:t xml:space="preserve"> CONSELHO NACIONAL DE JUSTIÇA. Cadastro único dará agilidade às ações coletivas, 9 de junho de 2011. Disponível em &lt; https://www.cnj.jus.br/cadastro-unico-dara-agilidade-as-acoes-coletivas/&gt; acesso em 11 de maio de 2020. </w:t>
      </w:r>
    </w:p>
  </w:footnote>
  <w:footnote w:id="3">
    <w:p w14:paraId="01B93FFB" w14:textId="77777777" w:rsidR="006333FD" w:rsidRPr="006333FD" w:rsidRDefault="006333FD" w:rsidP="006333FD">
      <w:pPr>
        <w:pStyle w:val="Textodenotaderodap"/>
        <w:jc w:val="both"/>
        <w:rPr>
          <w:rFonts w:ascii="Arial" w:hAnsi="Arial" w:cs="Arial"/>
        </w:rPr>
      </w:pPr>
      <w:r w:rsidRPr="006333FD">
        <w:rPr>
          <w:rStyle w:val="Refdenotaderodap"/>
          <w:rFonts w:ascii="Arial" w:hAnsi="Arial" w:cs="Arial"/>
        </w:rPr>
        <w:footnoteRef/>
      </w:r>
      <w:r w:rsidRPr="006333FD">
        <w:rPr>
          <w:rFonts w:ascii="Arial" w:hAnsi="Arial" w:cs="Arial"/>
        </w:rPr>
        <w:t xml:space="preserve"> CONSELHO NACIONAL DE JUSTIÇA. Justiça Pesquisa, 2ª edição. Ações coletivas no Brasil: temas, atores e desafios da tutela coletiva, 2018, p. 213. Disponível em &lt;https://www.cnj.jus.br/wp-content/uploads/2011/02/799b01d7a3f27f85b334448b8554c914.pdf&gt; acesso em 14 de maio de 2020. </w:t>
      </w:r>
    </w:p>
  </w:footnote>
  <w:footnote w:id="4">
    <w:p w14:paraId="3AD82D97" w14:textId="77777777" w:rsidR="006333FD" w:rsidRPr="006333FD" w:rsidRDefault="006333FD" w:rsidP="006333FD">
      <w:pPr>
        <w:pStyle w:val="Textodenotaderodap"/>
        <w:rPr>
          <w:rFonts w:ascii="Arial" w:hAnsi="Arial" w:cs="Arial"/>
        </w:rPr>
      </w:pPr>
      <w:r w:rsidRPr="006333FD">
        <w:rPr>
          <w:rStyle w:val="Refdenotaderodap"/>
          <w:rFonts w:ascii="Arial" w:hAnsi="Arial" w:cs="Arial"/>
        </w:rPr>
        <w:footnoteRef/>
      </w:r>
      <w:r w:rsidRPr="006333FD">
        <w:rPr>
          <w:rFonts w:ascii="Arial" w:hAnsi="Arial" w:cs="Arial"/>
        </w:rPr>
        <w:t xml:space="preserve"> Ibid., p. 214. </w:t>
      </w:r>
    </w:p>
  </w:footnote>
  <w:footnote w:id="5">
    <w:p w14:paraId="1259D68C" w14:textId="77777777" w:rsidR="006333FD" w:rsidRPr="006333FD" w:rsidRDefault="006333FD" w:rsidP="006333FD">
      <w:pPr>
        <w:pStyle w:val="Textodenotaderodap"/>
        <w:jc w:val="both"/>
        <w:rPr>
          <w:rFonts w:ascii="Arial" w:hAnsi="Arial" w:cs="Arial"/>
        </w:rPr>
      </w:pPr>
      <w:r w:rsidRPr="006333FD">
        <w:rPr>
          <w:rStyle w:val="Refdenotaderodap"/>
          <w:rFonts w:ascii="Arial" w:hAnsi="Arial" w:cs="Arial"/>
        </w:rPr>
        <w:footnoteRef/>
      </w:r>
      <w:r w:rsidRPr="006333FD">
        <w:rPr>
          <w:rFonts w:ascii="Arial" w:hAnsi="Arial" w:cs="Arial"/>
        </w:rPr>
        <w:t xml:space="preserve"> Por exemplo, nos temas de ambiental e de improbidade administrativa, a tutela de interesses é marcadamente geral ou difusa. </w:t>
      </w:r>
    </w:p>
  </w:footnote>
  <w:footnote w:id="6">
    <w:p w14:paraId="1B88776D" w14:textId="77777777" w:rsidR="006333FD" w:rsidRPr="006333FD" w:rsidRDefault="006333FD" w:rsidP="006333FD">
      <w:pPr>
        <w:pStyle w:val="Textodenotaderodap"/>
        <w:jc w:val="both"/>
        <w:rPr>
          <w:rFonts w:ascii="Arial" w:hAnsi="Arial" w:cs="Arial"/>
        </w:rPr>
      </w:pPr>
      <w:r w:rsidRPr="006333FD">
        <w:rPr>
          <w:rStyle w:val="Refdenotaderodap"/>
          <w:rFonts w:ascii="Arial" w:hAnsi="Arial" w:cs="Arial"/>
        </w:rPr>
        <w:footnoteRef/>
      </w:r>
      <w:r w:rsidRPr="006333FD">
        <w:rPr>
          <w:rFonts w:ascii="Arial" w:hAnsi="Arial" w:cs="Arial"/>
        </w:rPr>
        <w:t xml:space="preserve"> Para cerca de 95% dos magistrados ouvidos e 98,5% do total de entrevistados, a estrutura do Judiciário não é adequada em alguma medida (Ibid., p. 219). </w:t>
      </w:r>
    </w:p>
  </w:footnote>
  <w:footnote w:id="7">
    <w:p w14:paraId="5D5A5DC6" w14:textId="77777777" w:rsidR="006333FD" w:rsidRPr="006333FD" w:rsidRDefault="006333FD" w:rsidP="006333FD">
      <w:pPr>
        <w:pStyle w:val="Textodenotaderodap"/>
        <w:rPr>
          <w:rFonts w:ascii="Arial" w:hAnsi="Arial" w:cs="Arial"/>
        </w:rPr>
      </w:pPr>
      <w:r w:rsidRPr="006333FD">
        <w:rPr>
          <w:rStyle w:val="Refdenotaderodap"/>
          <w:rFonts w:ascii="Arial" w:hAnsi="Arial" w:cs="Arial"/>
        </w:rPr>
        <w:footnoteRef/>
      </w:r>
      <w:r w:rsidRPr="006333FD">
        <w:rPr>
          <w:rFonts w:ascii="Arial" w:hAnsi="Arial" w:cs="Arial"/>
        </w:rPr>
        <w:t xml:space="preserve"> Ibid., p. 125. </w:t>
      </w:r>
    </w:p>
  </w:footnote>
  <w:footnote w:id="8">
    <w:p w14:paraId="2C7C10C6" w14:textId="77777777" w:rsidR="006333FD" w:rsidRPr="006333FD" w:rsidRDefault="006333FD" w:rsidP="006333FD">
      <w:pPr>
        <w:pStyle w:val="Textodenotaderodap"/>
        <w:jc w:val="both"/>
        <w:rPr>
          <w:rFonts w:ascii="Arial" w:hAnsi="Arial" w:cs="Arial"/>
        </w:rPr>
      </w:pPr>
      <w:r w:rsidRPr="006333FD">
        <w:rPr>
          <w:rStyle w:val="Refdenotaderodap"/>
          <w:rFonts w:ascii="Arial" w:hAnsi="Arial" w:cs="Arial"/>
        </w:rPr>
        <w:footnoteRef/>
      </w:r>
      <w:r w:rsidRPr="006333FD">
        <w:rPr>
          <w:rFonts w:ascii="Arial" w:hAnsi="Arial" w:cs="Arial"/>
        </w:rPr>
        <w:t xml:space="preserve"> PINHO, Humberto Dalla </w:t>
      </w:r>
      <w:proofErr w:type="spellStart"/>
      <w:r w:rsidRPr="006333FD">
        <w:rPr>
          <w:rFonts w:ascii="Arial" w:hAnsi="Arial" w:cs="Arial"/>
        </w:rPr>
        <w:t>Bernardina</w:t>
      </w:r>
      <w:proofErr w:type="spellEnd"/>
      <w:r w:rsidRPr="006333FD">
        <w:rPr>
          <w:rFonts w:ascii="Arial" w:hAnsi="Arial" w:cs="Arial"/>
        </w:rPr>
        <w:t xml:space="preserve"> de. Acordos em litígios coletivos: limites e possibilidades do consenso em direitos </w:t>
      </w:r>
      <w:proofErr w:type="spellStart"/>
      <w:r w:rsidRPr="006333FD">
        <w:rPr>
          <w:rFonts w:ascii="Arial" w:hAnsi="Arial" w:cs="Arial"/>
        </w:rPr>
        <w:t>transindividuais</w:t>
      </w:r>
      <w:proofErr w:type="spellEnd"/>
      <w:r w:rsidRPr="006333FD">
        <w:rPr>
          <w:rFonts w:ascii="Arial" w:hAnsi="Arial" w:cs="Arial"/>
        </w:rPr>
        <w:t xml:space="preserve"> após o advento do CPC/2015 e da Lei de Mediação. Revista Eletrônica de Direito Processual, ano 12, volume 19, número 2, maio a agosto de 2018, pp. 139-140. </w:t>
      </w:r>
    </w:p>
  </w:footnote>
  <w:footnote w:id="9">
    <w:p w14:paraId="2E9C57B8" w14:textId="77777777" w:rsidR="006333FD" w:rsidRPr="006333FD" w:rsidRDefault="006333FD" w:rsidP="006333FD">
      <w:pPr>
        <w:pStyle w:val="Textodenotaderodap"/>
        <w:jc w:val="both"/>
        <w:rPr>
          <w:rFonts w:ascii="Arial" w:hAnsi="Arial" w:cs="Arial"/>
        </w:rPr>
      </w:pPr>
      <w:r w:rsidRPr="006333FD">
        <w:rPr>
          <w:rStyle w:val="Refdenotaderodap"/>
          <w:rFonts w:ascii="Arial" w:hAnsi="Arial" w:cs="Arial"/>
        </w:rPr>
        <w:footnoteRef/>
      </w:r>
      <w:r w:rsidRPr="006333FD">
        <w:rPr>
          <w:rFonts w:ascii="Arial" w:hAnsi="Arial" w:cs="Arial"/>
          <w:lang w:val="en-US"/>
        </w:rPr>
        <w:t xml:space="preserve"> Cf. GIDI, Antonio. Class action in Brazil – a model for civil law countries. </w:t>
      </w:r>
      <w:r w:rsidRPr="006333FD">
        <w:rPr>
          <w:rFonts w:ascii="Arial" w:hAnsi="Arial" w:cs="Arial"/>
        </w:rPr>
        <w:t xml:space="preserve">The American </w:t>
      </w:r>
      <w:proofErr w:type="spellStart"/>
      <w:r w:rsidRPr="006333FD">
        <w:rPr>
          <w:rFonts w:ascii="Arial" w:hAnsi="Arial" w:cs="Arial"/>
        </w:rPr>
        <w:t>Journal</w:t>
      </w:r>
      <w:proofErr w:type="spellEnd"/>
      <w:r w:rsidRPr="006333FD">
        <w:rPr>
          <w:rFonts w:ascii="Arial" w:hAnsi="Arial" w:cs="Arial"/>
        </w:rPr>
        <w:t xml:space="preserve"> </w:t>
      </w:r>
      <w:proofErr w:type="spellStart"/>
      <w:r w:rsidRPr="006333FD">
        <w:rPr>
          <w:rFonts w:ascii="Arial" w:hAnsi="Arial" w:cs="Arial"/>
        </w:rPr>
        <w:t>of</w:t>
      </w:r>
      <w:proofErr w:type="spellEnd"/>
      <w:r w:rsidRPr="006333FD">
        <w:rPr>
          <w:rFonts w:ascii="Arial" w:hAnsi="Arial" w:cs="Arial"/>
        </w:rPr>
        <w:t xml:space="preserve"> </w:t>
      </w:r>
      <w:proofErr w:type="spellStart"/>
      <w:r w:rsidRPr="006333FD">
        <w:rPr>
          <w:rFonts w:ascii="Arial" w:hAnsi="Arial" w:cs="Arial"/>
        </w:rPr>
        <w:t>Comparative</w:t>
      </w:r>
      <w:proofErr w:type="spellEnd"/>
      <w:r w:rsidRPr="006333FD">
        <w:rPr>
          <w:rFonts w:ascii="Arial" w:hAnsi="Arial" w:cs="Arial"/>
        </w:rPr>
        <w:t xml:space="preserve"> Law, v. 51, n. 2, 2003.</w:t>
      </w:r>
    </w:p>
  </w:footnote>
  <w:footnote w:id="10">
    <w:p w14:paraId="3EDE0BE1" w14:textId="77777777" w:rsidR="006333FD" w:rsidRPr="006333FD" w:rsidRDefault="006333FD" w:rsidP="006333FD">
      <w:pPr>
        <w:pStyle w:val="Textodenotaderodap"/>
        <w:jc w:val="both"/>
        <w:rPr>
          <w:rFonts w:ascii="Arial" w:hAnsi="Arial" w:cs="Arial"/>
        </w:rPr>
      </w:pPr>
      <w:r w:rsidRPr="006333FD">
        <w:rPr>
          <w:rStyle w:val="Refdenotaderodap"/>
          <w:rFonts w:ascii="Arial" w:hAnsi="Arial" w:cs="Arial"/>
        </w:rPr>
        <w:footnoteRef/>
      </w:r>
      <w:r w:rsidRPr="006333FD">
        <w:rPr>
          <w:rFonts w:ascii="Arial" w:hAnsi="Arial" w:cs="Arial"/>
        </w:rPr>
        <w:t xml:space="preserve"> Esta é regra contida no artigo 23 do Regulamento Federal de Processo Civil: As reclamações, questões ou defesas de uma classe certificada podem ser resolvidas, rejeitadas voluntariamente ou comprometidas apenas com a aprovação do tribunal. Os procedimentos a seguir se aplicam a uma proposta de acordo, demissão voluntária ou compromisso: (1) O tribunal deve encaminhar a notificação de maneira razoável a todos os membros da classe que estariam vinculados à proposta; (2) Se a proposta vincular membros da classe, o tribunal poderá aprová-la somente após uma audiência e constatando que é justa, razoável e adequada; (3) As partes que buscam aprovação devem apresentar uma declaração identificando qualquer acordo feito com relação à proposta; (4) Se a ação coletiva tiver sido previamente certificada de acordo com a Regra 23 (b) (3), o tribunal poderá se recusar a aprovar um acordo, a menos que ofereça uma nova oportunidade para solicitar exclusão a membros individuais da classe que tiveram uma oportunidade anterior de solicitar exclusão e não o fizeram; (5) Qualquer membro da classe pode opor-se à proposta se ela exigir aprovação do tribunal nos termos desta subdivisão (e); a objeção só pode ser retirada com a aprovação do tribunal (Tradução Livre da autora). </w:t>
      </w:r>
    </w:p>
  </w:footnote>
  <w:footnote w:id="11">
    <w:p w14:paraId="677A8F00" w14:textId="77777777" w:rsidR="006333FD" w:rsidRPr="006333FD" w:rsidRDefault="006333FD" w:rsidP="006333FD">
      <w:pPr>
        <w:pStyle w:val="Textodenotaderodap"/>
        <w:jc w:val="both"/>
        <w:rPr>
          <w:rFonts w:ascii="Arial" w:hAnsi="Arial" w:cs="Arial"/>
        </w:rPr>
      </w:pPr>
      <w:r w:rsidRPr="006333FD">
        <w:rPr>
          <w:rStyle w:val="Refdenotaderodap"/>
          <w:rFonts w:ascii="Arial" w:hAnsi="Arial" w:cs="Arial"/>
        </w:rPr>
        <w:footnoteRef/>
      </w:r>
      <w:r w:rsidRPr="006333FD">
        <w:rPr>
          <w:rFonts w:ascii="Arial" w:hAnsi="Arial" w:cs="Arial"/>
          <w:lang w:val="en-US"/>
        </w:rPr>
        <w:t xml:space="preserve"> Cf. KLONOFF, Robert. Class Actions and Other Multi- Party Litigation in a Nutshell. </w:t>
      </w:r>
      <w:r w:rsidRPr="006333FD">
        <w:rPr>
          <w:rFonts w:ascii="Arial" w:hAnsi="Arial" w:cs="Arial"/>
        </w:rPr>
        <w:t xml:space="preserve">West </w:t>
      </w:r>
      <w:proofErr w:type="spellStart"/>
      <w:r w:rsidRPr="006333FD">
        <w:rPr>
          <w:rFonts w:ascii="Arial" w:hAnsi="Arial" w:cs="Arial"/>
        </w:rPr>
        <w:t>Academic</w:t>
      </w:r>
      <w:proofErr w:type="spellEnd"/>
      <w:r w:rsidRPr="006333FD">
        <w:rPr>
          <w:rFonts w:ascii="Arial" w:hAnsi="Arial" w:cs="Arial"/>
        </w:rPr>
        <w:t xml:space="preserve">, 2017. </w:t>
      </w:r>
      <w:proofErr w:type="spellStart"/>
      <w:r w:rsidRPr="006333FD">
        <w:rPr>
          <w:rFonts w:ascii="Arial" w:hAnsi="Arial" w:cs="Arial"/>
        </w:rPr>
        <w:t>Kindle</w:t>
      </w:r>
      <w:proofErr w:type="spellEnd"/>
      <w:r w:rsidRPr="006333FD">
        <w:rPr>
          <w:rFonts w:ascii="Arial" w:hAnsi="Arial" w:cs="Arial"/>
        </w:rPr>
        <w:t xml:space="preserve"> ́s </w:t>
      </w:r>
      <w:proofErr w:type="spellStart"/>
      <w:r w:rsidRPr="006333FD">
        <w:rPr>
          <w:rFonts w:ascii="Arial" w:hAnsi="Arial" w:cs="Arial"/>
        </w:rPr>
        <w:t>edition</w:t>
      </w:r>
      <w:proofErr w:type="spellEnd"/>
      <w:r w:rsidRPr="006333FD">
        <w:rPr>
          <w:rFonts w:ascii="Arial" w:hAnsi="Arial" w:cs="Arial"/>
        </w:rPr>
        <w:t xml:space="preserve">. </w:t>
      </w:r>
    </w:p>
  </w:footnote>
  <w:footnote w:id="12">
    <w:p w14:paraId="63CCF227" w14:textId="77777777" w:rsidR="006333FD" w:rsidRPr="006333FD" w:rsidRDefault="006333FD" w:rsidP="006333FD">
      <w:pPr>
        <w:pStyle w:val="Textodenotaderodap"/>
        <w:jc w:val="both"/>
        <w:rPr>
          <w:rFonts w:ascii="Arial" w:hAnsi="Arial" w:cs="Arial"/>
        </w:rPr>
      </w:pPr>
      <w:r w:rsidRPr="006333FD">
        <w:rPr>
          <w:rStyle w:val="Refdenotaderodap"/>
          <w:rFonts w:ascii="Arial" w:hAnsi="Arial" w:cs="Arial"/>
        </w:rPr>
        <w:footnoteRef/>
      </w:r>
      <w:r w:rsidRPr="006333FD">
        <w:rPr>
          <w:rFonts w:ascii="Arial" w:hAnsi="Arial" w:cs="Arial"/>
        </w:rPr>
        <w:t xml:space="preserve"> RODRIGUES, Marco </w:t>
      </w:r>
      <w:proofErr w:type="spellStart"/>
      <w:r w:rsidRPr="006333FD">
        <w:rPr>
          <w:rFonts w:ascii="Arial" w:hAnsi="Arial" w:cs="Arial"/>
        </w:rPr>
        <w:t>Antonio</w:t>
      </w:r>
      <w:proofErr w:type="spellEnd"/>
      <w:r w:rsidRPr="006333FD">
        <w:rPr>
          <w:rFonts w:ascii="Arial" w:hAnsi="Arial" w:cs="Arial"/>
        </w:rPr>
        <w:t xml:space="preserve">; PEPE, Rafael Gaia. Ela, a transação fiscal, vista por nós, advogados públicos. Jota, Opinião e Análise, Pandemia, 9 de maio de 2020. Disponível em &lt; https://www.jota.info/opiniao-e-analise/colunas/tribuna-da-advocacia-publica/ela-a-transacao-fiscal-vista-por-nos-os-advogados-publicos-09052020&gt; acesso em 16 de maio de 2020. </w:t>
      </w:r>
    </w:p>
  </w:footnote>
  <w:footnote w:id="13">
    <w:p w14:paraId="4872A55F" w14:textId="77777777" w:rsidR="006333FD" w:rsidRPr="006333FD" w:rsidRDefault="006333FD" w:rsidP="006333FD">
      <w:pPr>
        <w:jc w:val="both"/>
        <w:rPr>
          <w:rFonts w:ascii="Arial" w:hAnsi="Arial" w:cs="Arial"/>
          <w:sz w:val="20"/>
          <w:szCs w:val="20"/>
        </w:rPr>
      </w:pPr>
      <w:r w:rsidRPr="006333FD">
        <w:rPr>
          <w:rStyle w:val="Refdenotaderodap"/>
          <w:rFonts w:ascii="Arial" w:hAnsi="Arial" w:cs="Arial"/>
          <w:sz w:val="20"/>
          <w:szCs w:val="20"/>
        </w:rPr>
        <w:footnoteRef/>
      </w:r>
      <w:r w:rsidRPr="006333FD">
        <w:rPr>
          <w:rFonts w:ascii="Arial" w:hAnsi="Arial" w:cs="Arial"/>
          <w:sz w:val="20"/>
          <w:szCs w:val="20"/>
        </w:rPr>
        <w:t xml:space="preserve"> Não obstante este grande avanço normativo, as outras três modalidades de transação previstas pelo legislador são de adesão, ou seja, não há espaço para a discussão das cláusulas propostas pelo Poder Público. </w:t>
      </w:r>
    </w:p>
  </w:footnote>
  <w:footnote w:id="14">
    <w:p w14:paraId="713F1A3B" w14:textId="77777777" w:rsidR="006333FD" w:rsidRPr="006333FD" w:rsidRDefault="006333FD" w:rsidP="006333FD">
      <w:pPr>
        <w:pStyle w:val="Textodenotaderodap"/>
        <w:jc w:val="both"/>
        <w:rPr>
          <w:rFonts w:ascii="Arial" w:hAnsi="Arial" w:cs="Arial"/>
        </w:rPr>
      </w:pPr>
      <w:r w:rsidRPr="006333FD">
        <w:rPr>
          <w:rStyle w:val="Refdenotaderodap"/>
          <w:rFonts w:ascii="Arial" w:hAnsi="Arial" w:cs="Arial"/>
        </w:rPr>
        <w:footnoteRef/>
      </w:r>
      <w:r w:rsidRPr="006333FD">
        <w:rPr>
          <w:rFonts w:ascii="Arial" w:hAnsi="Arial" w:cs="Arial"/>
        </w:rPr>
        <w:t xml:space="preserve"> Marco </w:t>
      </w:r>
      <w:proofErr w:type="spellStart"/>
      <w:r w:rsidRPr="006333FD">
        <w:rPr>
          <w:rFonts w:ascii="Arial" w:hAnsi="Arial" w:cs="Arial"/>
        </w:rPr>
        <w:t>Antonio</w:t>
      </w:r>
      <w:proofErr w:type="spellEnd"/>
      <w:r w:rsidRPr="006333FD">
        <w:rPr>
          <w:rFonts w:ascii="Arial" w:hAnsi="Arial" w:cs="Arial"/>
        </w:rPr>
        <w:t xml:space="preserve"> Rodrigues e Rafael Gaia Pepe celebram esta norma enquanto uma importante conquista institucional para a advocacia pública. </w:t>
      </w:r>
    </w:p>
    <w:p w14:paraId="1CDE38C8" w14:textId="77777777" w:rsidR="006333FD" w:rsidRPr="006333FD" w:rsidRDefault="006333FD" w:rsidP="006333FD">
      <w:pPr>
        <w:pStyle w:val="Textodenotaderodap"/>
        <w:jc w:val="both"/>
        <w:rPr>
          <w:rFonts w:ascii="Arial" w:hAnsi="Arial" w:cs="Arial"/>
          <w:lang w:val="en-US"/>
        </w:rPr>
      </w:pPr>
      <w:r w:rsidRPr="006333FD">
        <w:rPr>
          <w:rFonts w:ascii="Arial" w:hAnsi="Arial" w:cs="Arial"/>
          <w:lang w:val="en-US"/>
        </w:rPr>
        <w:t xml:space="preserve">Idem. </w:t>
      </w:r>
    </w:p>
  </w:footnote>
  <w:footnote w:id="15">
    <w:p w14:paraId="200321E9" w14:textId="77777777" w:rsidR="006333FD" w:rsidRPr="006333FD" w:rsidRDefault="006333FD" w:rsidP="006333FD">
      <w:pPr>
        <w:pStyle w:val="Textodenotaderodap"/>
        <w:jc w:val="both"/>
        <w:rPr>
          <w:rFonts w:ascii="Arial" w:hAnsi="Arial" w:cs="Arial"/>
        </w:rPr>
      </w:pPr>
      <w:r w:rsidRPr="006333FD">
        <w:rPr>
          <w:rStyle w:val="Refdenotaderodap"/>
          <w:rFonts w:ascii="Arial" w:hAnsi="Arial" w:cs="Arial"/>
        </w:rPr>
        <w:footnoteRef/>
      </w:r>
      <w:r w:rsidRPr="006333FD">
        <w:rPr>
          <w:rFonts w:ascii="Arial" w:hAnsi="Arial" w:cs="Arial"/>
          <w:lang w:val="en-US"/>
        </w:rPr>
        <w:t xml:space="preserve"> COLIN RULE. Is ODR ADR? A Response to Carrie </w:t>
      </w:r>
      <w:proofErr w:type="spellStart"/>
      <w:r w:rsidRPr="006333FD">
        <w:rPr>
          <w:rFonts w:ascii="Arial" w:hAnsi="Arial" w:cs="Arial"/>
          <w:lang w:val="en-US"/>
        </w:rPr>
        <w:t>Menkel</w:t>
      </w:r>
      <w:proofErr w:type="spellEnd"/>
      <w:r w:rsidRPr="006333FD">
        <w:rPr>
          <w:rFonts w:ascii="Arial" w:hAnsi="Arial" w:cs="Arial"/>
          <w:lang w:val="en-US"/>
        </w:rPr>
        <w:t xml:space="preserve">-Meadow," in The International Journal of Online Dispute Resolution, Eleven International Publishing, 2017. </w:t>
      </w:r>
      <w:r w:rsidRPr="006333FD">
        <w:rPr>
          <w:rFonts w:ascii="Arial" w:hAnsi="Arial" w:cs="Arial"/>
        </w:rPr>
        <w:t xml:space="preserve">Disponível em &lt; http://www.colinrule.com/writing/ijodr.pdf&gt; acesso em 16 de maio de 2020. </w:t>
      </w:r>
    </w:p>
  </w:footnote>
  <w:footnote w:id="16">
    <w:p w14:paraId="3338B259" w14:textId="77777777" w:rsidR="006333FD" w:rsidRPr="006333FD" w:rsidRDefault="006333FD" w:rsidP="006333FD">
      <w:pPr>
        <w:pStyle w:val="Textodenotaderodap"/>
        <w:jc w:val="both"/>
        <w:rPr>
          <w:rFonts w:ascii="Arial" w:hAnsi="Arial" w:cs="Arial"/>
          <w:lang w:val="en-US"/>
        </w:rPr>
      </w:pPr>
      <w:r w:rsidRPr="006333FD">
        <w:rPr>
          <w:rStyle w:val="Refdenotaderodap"/>
          <w:rFonts w:ascii="Arial" w:hAnsi="Arial" w:cs="Arial"/>
        </w:rPr>
        <w:footnoteRef/>
      </w:r>
      <w:r w:rsidRPr="006333FD">
        <w:rPr>
          <w:rFonts w:ascii="Arial" w:hAnsi="Arial" w:cs="Arial"/>
          <w:lang w:val="en-US"/>
        </w:rPr>
        <w:t xml:space="preserve"> Cf. WAHAB, Mohamed; KATSH, Ethan; RAINEY, Daniel. Online Dispute Resolution: Theory and Practice: a treatise on technology and dispute resolution. Eleven International Publishing, 2012. </w:t>
      </w:r>
    </w:p>
  </w:footnote>
  <w:footnote w:id="17">
    <w:p w14:paraId="211EDDD8" w14:textId="77777777" w:rsidR="006333FD" w:rsidRPr="006333FD" w:rsidRDefault="006333FD" w:rsidP="006333FD">
      <w:pPr>
        <w:pStyle w:val="Textodenotaderodap"/>
        <w:jc w:val="both"/>
        <w:rPr>
          <w:rFonts w:ascii="Arial" w:hAnsi="Arial" w:cs="Arial"/>
        </w:rPr>
      </w:pPr>
      <w:r w:rsidRPr="006333FD">
        <w:rPr>
          <w:rStyle w:val="Refdenotaderodap"/>
          <w:rFonts w:ascii="Arial" w:hAnsi="Arial" w:cs="Arial"/>
        </w:rPr>
        <w:footnoteRef/>
      </w:r>
      <w:r w:rsidRPr="006333FD">
        <w:rPr>
          <w:rFonts w:ascii="Arial" w:hAnsi="Arial" w:cs="Arial"/>
          <w:lang w:val="en-US"/>
        </w:rPr>
        <w:t xml:space="preserve"> AMERICAN BAR ASSOCIATION. Addressing disputes in electronic commerce: final report and recommendations of the American Bar Association’s Task Force on Electronic Commerce and Alternative Dispute Resolution, 2002. </w:t>
      </w:r>
      <w:r w:rsidRPr="006333FD">
        <w:rPr>
          <w:rFonts w:ascii="Arial" w:hAnsi="Arial" w:cs="Arial"/>
        </w:rPr>
        <w:t xml:space="preserve">Disponível em &lt; https://www.americanbar.org/content/dam/aba/migrated/dispute/documents/FinalReport102802.pdf&gt; acesso em 17 de maio de 2020. </w:t>
      </w:r>
    </w:p>
  </w:footnote>
  <w:footnote w:id="18">
    <w:p w14:paraId="38317552" w14:textId="77777777" w:rsidR="006333FD" w:rsidRPr="006333FD" w:rsidRDefault="006333FD" w:rsidP="006333FD">
      <w:pPr>
        <w:pStyle w:val="Textodenotaderodap"/>
        <w:jc w:val="both"/>
        <w:rPr>
          <w:rFonts w:ascii="Arial" w:hAnsi="Arial" w:cs="Arial"/>
        </w:rPr>
      </w:pPr>
      <w:r w:rsidRPr="006333FD">
        <w:rPr>
          <w:rStyle w:val="Refdenotaderodap"/>
          <w:rFonts w:ascii="Arial" w:hAnsi="Arial" w:cs="Arial"/>
        </w:rPr>
        <w:footnoteRef/>
      </w:r>
      <w:r w:rsidRPr="006333FD">
        <w:rPr>
          <w:rFonts w:ascii="Arial" w:hAnsi="Arial" w:cs="Arial"/>
          <w:lang w:val="en-US"/>
        </w:rPr>
        <w:t xml:space="preserve"> Cf. GUSTIN, Stephanie; DOLAN, Norman. Mobile Online Dispute Resolution Tools’ Potential Applications for Government Offices. </w:t>
      </w:r>
      <w:proofErr w:type="spellStart"/>
      <w:r w:rsidRPr="006333FD">
        <w:rPr>
          <w:rFonts w:ascii="Arial" w:hAnsi="Arial" w:cs="Arial"/>
        </w:rPr>
        <w:t>International</w:t>
      </w:r>
      <w:proofErr w:type="spellEnd"/>
      <w:r w:rsidRPr="006333FD">
        <w:rPr>
          <w:rFonts w:ascii="Arial" w:hAnsi="Arial" w:cs="Arial"/>
        </w:rPr>
        <w:t xml:space="preserve"> </w:t>
      </w:r>
      <w:proofErr w:type="spellStart"/>
      <w:r w:rsidRPr="006333FD">
        <w:rPr>
          <w:rFonts w:ascii="Arial" w:hAnsi="Arial" w:cs="Arial"/>
        </w:rPr>
        <w:t>Journal</w:t>
      </w:r>
      <w:proofErr w:type="spellEnd"/>
      <w:r w:rsidRPr="006333FD">
        <w:rPr>
          <w:rFonts w:ascii="Arial" w:hAnsi="Arial" w:cs="Arial"/>
        </w:rPr>
        <w:t xml:space="preserve"> </w:t>
      </w:r>
      <w:proofErr w:type="spellStart"/>
      <w:r w:rsidRPr="006333FD">
        <w:rPr>
          <w:rFonts w:ascii="Arial" w:hAnsi="Arial" w:cs="Arial"/>
        </w:rPr>
        <w:t>of</w:t>
      </w:r>
      <w:proofErr w:type="spellEnd"/>
      <w:r w:rsidRPr="006333FD">
        <w:rPr>
          <w:rFonts w:ascii="Arial" w:hAnsi="Arial" w:cs="Arial"/>
        </w:rPr>
        <w:t xml:space="preserve"> Online Dispute </w:t>
      </w:r>
      <w:proofErr w:type="spellStart"/>
      <w:r w:rsidRPr="006333FD">
        <w:rPr>
          <w:rFonts w:ascii="Arial" w:hAnsi="Arial" w:cs="Arial"/>
        </w:rPr>
        <w:t>Resolution</w:t>
      </w:r>
      <w:proofErr w:type="spellEnd"/>
      <w:r w:rsidRPr="006333FD">
        <w:rPr>
          <w:rFonts w:ascii="Arial" w:hAnsi="Arial" w:cs="Arial"/>
        </w:rPr>
        <w:t xml:space="preserve">, i.1, 2019. Disponível em &lt; https://www.elevenjournals.com/tijdschrift/ijodr/2019/1/IJODR_2352-5002_2019_006_001_004&gt; acesso em 16 de maio de 2020. </w:t>
      </w:r>
    </w:p>
  </w:footnote>
  <w:footnote w:id="19">
    <w:p w14:paraId="5C6E9A10" w14:textId="77777777" w:rsidR="006333FD" w:rsidRPr="006333FD" w:rsidRDefault="006333FD" w:rsidP="006333FD">
      <w:pPr>
        <w:pStyle w:val="Textodenotaderodap"/>
        <w:rPr>
          <w:rFonts w:ascii="Arial" w:hAnsi="Arial" w:cs="Arial"/>
        </w:rPr>
      </w:pPr>
      <w:r w:rsidRPr="006333FD">
        <w:rPr>
          <w:rStyle w:val="Refdenotaderodap"/>
          <w:rFonts w:ascii="Arial" w:hAnsi="Arial" w:cs="Arial"/>
        </w:rPr>
        <w:footnoteRef/>
      </w:r>
      <w:r w:rsidRPr="006333FD">
        <w:rPr>
          <w:rFonts w:ascii="Arial" w:hAnsi="Arial" w:cs="Arial"/>
        </w:rPr>
        <w:t xml:space="preserve"> Mais informações em &lt; https://www.litige.fr/actions&gt; acesso em 17 de maio de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D16CD" w14:textId="77777777" w:rsidR="00D250B2" w:rsidRDefault="00D250B2" w:rsidP="00D250B2">
    <w:pPr>
      <w:pStyle w:val="Cabealho"/>
      <w:jc w:val="center"/>
      <w:rPr>
        <w:b/>
        <w:sz w:val="20"/>
        <w:szCs w:val="20"/>
      </w:rPr>
    </w:pPr>
    <w:r w:rsidRPr="00D250B2">
      <w:rPr>
        <w:b/>
        <w:sz w:val="20"/>
        <w:szCs w:val="20"/>
      </w:rPr>
      <w:t>Regras para artigos de obras coletivas</w:t>
    </w:r>
  </w:p>
  <w:p w14:paraId="0FA07F9B" w14:textId="77777777" w:rsidR="00D250B2" w:rsidRPr="00D250B2" w:rsidRDefault="00D250B2" w:rsidP="00D250B2">
    <w:pPr>
      <w:pStyle w:val="Cabealho"/>
      <w:jc w:val="center"/>
      <w:rPr>
        <w:b/>
        <w:noProof/>
        <w:sz w:val="20"/>
        <w:szCs w:val="20"/>
        <w:lang w:eastAsia="pt-BR"/>
      </w:rPr>
    </w:pPr>
  </w:p>
  <w:p w14:paraId="1B4C1B94" w14:textId="77777777" w:rsidR="00D250B2" w:rsidRDefault="00D250B2" w:rsidP="00D250B2">
    <w:pPr>
      <w:pStyle w:val="Cabealho"/>
      <w:jc w:val="center"/>
    </w:pPr>
    <w:r w:rsidRPr="00D250B2">
      <w:rPr>
        <w:noProof/>
        <w:sz w:val="20"/>
        <w:szCs w:val="20"/>
        <w:lang w:eastAsia="pt-BR"/>
      </w:rPr>
      <w:drawing>
        <wp:inline distT="0" distB="0" distL="0" distR="0" wp14:anchorId="685EB4B9" wp14:editId="144806EF">
          <wp:extent cx="770992" cy="488402"/>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4205" cy="49043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D2C9F"/>
    <w:multiLevelType w:val="hybridMultilevel"/>
    <w:tmpl w:val="43C67CE2"/>
    <w:lvl w:ilvl="0" w:tplc="A75E308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22"/>
    <w:rsid w:val="00045BAD"/>
    <w:rsid w:val="00145CCE"/>
    <w:rsid w:val="00160F22"/>
    <w:rsid w:val="003B58EB"/>
    <w:rsid w:val="004F6F96"/>
    <w:rsid w:val="00561797"/>
    <w:rsid w:val="005F6C24"/>
    <w:rsid w:val="00612CC0"/>
    <w:rsid w:val="006333FD"/>
    <w:rsid w:val="006B112F"/>
    <w:rsid w:val="007034CA"/>
    <w:rsid w:val="00777FB0"/>
    <w:rsid w:val="008651F1"/>
    <w:rsid w:val="009E4D1E"/>
    <w:rsid w:val="00B35DE2"/>
    <w:rsid w:val="00C465D0"/>
    <w:rsid w:val="00D250B2"/>
    <w:rsid w:val="00E323E4"/>
    <w:rsid w:val="00FF0A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D121E"/>
  <w15:docId w15:val="{4BB1A12A-E893-478D-8A98-61633E2D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5D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60F22"/>
    <w:pPr>
      <w:ind w:left="720"/>
      <w:contextualSpacing/>
    </w:pPr>
  </w:style>
  <w:style w:type="paragraph" w:styleId="Cabealho">
    <w:name w:val="header"/>
    <w:basedOn w:val="Normal"/>
    <w:link w:val="CabealhoChar"/>
    <w:uiPriority w:val="99"/>
    <w:unhideWhenUsed/>
    <w:rsid w:val="00D250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50B2"/>
  </w:style>
  <w:style w:type="paragraph" w:styleId="Rodap">
    <w:name w:val="footer"/>
    <w:basedOn w:val="Normal"/>
    <w:link w:val="RodapChar"/>
    <w:uiPriority w:val="99"/>
    <w:semiHidden/>
    <w:unhideWhenUsed/>
    <w:rsid w:val="00D250B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250B2"/>
  </w:style>
  <w:style w:type="paragraph" w:styleId="Textodebalo">
    <w:name w:val="Balloon Text"/>
    <w:basedOn w:val="Normal"/>
    <w:link w:val="TextodebaloChar"/>
    <w:uiPriority w:val="99"/>
    <w:semiHidden/>
    <w:unhideWhenUsed/>
    <w:rsid w:val="00D250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50B2"/>
    <w:rPr>
      <w:rFonts w:ascii="Tahoma" w:hAnsi="Tahoma" w:cs="Tahoma"/>
      <w:sz w:val="16"/>
      <w:szCs w:val="16"/>
    </w:rPr>
  </w:style>
  <w:style w:type="paragraph" w:styleId="Textodenotaderodap">
    <w:name w:val="footnote text"/>
    <w:basedOn w:val="Normal"/>
    <w:link w:val="TextodenotaderodapChar"/>
    <w:uiPriority w:val="99"/>
    <w:unhideWhenUsed/>
    <w:rsid w:val="006333F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6333FD"/>
    <w:rPr>
      <w:sz w:val="20"/>
      <w:szCs w:val="20"/>
    </w:rPr>
  </w:style>
  <w:style w:type="character" w:styleId="Refdenotaderodap">
    <w:name w:val="footnote reference"/>
    <w:basedOn w:val="Fontepargpadro"/>
    <w:uiPriority w:val="99"/>
    <w:semiHidden/>
    <w:unhideWhenUsed/>
    <w:rsid w:val="006333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3582</Words>
  <Characters>19348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Manuella Santos de Castro</dc:creator>
  <cp:keywords/>
  <dc:description/>
  <cp:lastModifiedBy>Fernanda Braganca</cp:lastModifiedBy>
  <cp:revision>3</cp:revision>
  <dcterms:created xsi:type="dcterms:W3CDTF">2020-05-22T00:58:00Z</dcterms:created>
  <dcterms:modified xsi:type="dcterms:W3CDTF">2020-05-22T00:59:00Z</dcterms:modified>
</cp:coreProperties>
</file>